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uggested-reviewer-expertise"/>
    <w:p>
      <w:pPr>
        <w:pStyle w:val="Heading1"/>
      </w:pPr>
      <w:r>
        <w:t xml:space="preserve">Suggested reviewer expertise</w:t>
      </w:r>
    </w:p>
    <w:p>
      <w:pPr>
        <w:pStyle w:val="FirstParagraph"/>
      </w:pPr>
      <w:r>
        <w:t xml:space="preserve">The manuscript would benefit from reviewers collectively covering:</w:t>
      </w:r>
    </w:p>
    <w:p>
      <w:pPr>
        <w:pStyle w:val="Compact"/>
        <w:numPr>
          <w:ilvl w:val="0"/>
          <w:numId w:val="1001"/>
        </w:numPr>
      </w:pPr>
      <w:r>
        <w:t xml:space="preserve">coastal and marine bird ecology;</w:t>
      </w:r>
    </w:p>
    <w:p>
      <w:pPr>
        <w:pStyle w:val="Compact"/>
        <w:numPr>
          <w:ilvl w:val="0"/>
          <w:numId w:val="1001"/>
        </w:numPr>
      </w:pPr>
      <w:r>
        <w:t xml:space="preserve">Pacific herring or forage-fish spawning ecology;</w:t>
      </w:r>
    </w:p>
    <w:p>
      <w:pPr>
        <w:pStyle w:val="Compact"/>
        <w:numPr>
          <w:ilvl w:val="0"/>
          <w:numId w:val="1001"/>
        </w:numPr>
      </w:pPr>
      <w:r>
        <w:t xml:space="preserve">eBird and semistructured community-science inference;</w:t>
      </w:r>
    </w:p>
    <w:p>
      <w:pPr>
        <w:pStyle w:val="Compact"/>
        <w:numPr>
          <w:ilvl w:val="0"/>
          <w:numId w:val="1001"/>
        </w:numPr>
      </w:pPr>
      <w:r>
        <w:t xml:space="preserve">hierarchical and mixed-effects ecological models;</w:t>
      </w:r>
    </w:p>
    <w:p>
      <w:pPr>
        <w:pStyle w:val="Compact"/>
        <w:numPr>
          <w:ilvl w:val="0"/>
          <w:numId w:val="1001"/>
        </w:numPr>
      </w:pPr>
      <w:r>
        <w:t xml:space="preserve">spatial and temporal exposure linkage;</w:t>
      </w:r>
    </w:p>
    <w:p>
      <w:pPr>
        <w:pStyle w:val="Compact"/>
        <w:numPr>
          <w:ilvl w:val="0"/>
          <w:numId w:val="1001"/>
        </w:numPr>
      </w:pPr>
      <w:r>
        <w:t xml:space="preserve">falsification, negative-control, and sensitivity-analysis design; and</w:t>
      </w:r>
    </w:p>
    <w:p>
      <w:pPr>
        <w:pStyle w:val="Compact"/>
        <w:numPr>
          <w:ilvl w:val="0"/>
          <w:numId w:val="1001"/>
        </w:numPr>
      </w:pPr>
      <w:r>
        <w:t xml:space="preserve">reproducible, privacy-aware ecological workflows.</w:t>
      </w:r>
    </w:p>
    <w:p>
      <w:pPr>
        <w:pStyle w:val="FirstParagraph"/>
      </w:pPr>
      <w:r>
        <w:t xml:space="preserve">No individual reviewers are proposed because the author supplied no names. Editors should avoid reviewers with recent collaboration, supervisory, financial, institutional, or personal conflicts with the author.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2026-07-22T19:10:36Z</dcterms:created>
  <dcterms:modified xsi:type="dcterms:W3CDTF">2026-07-22T19:10:36Z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