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Storm-Related Health Outcomes by ICE Quintile, 2005–2022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4750"/>
        <w:tblLook w:firstRow="1" w:lastRow="0" w:firstColumn="0" w:lastColumn="0" w:noHBand="0" w:noVBand="1"/>
      </w:tblP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ice_quintile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Storm 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Injuries (per 100,000 people)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Deaths (per 100,000 people)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Indirect Injuries (per 100,000 people)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Indirect Deaths (per 100,000 people)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9,618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2026-03-18T13:05:35Z</dcterms:modified>
  <cp:category/>
</cp:coreProperties>
</file>