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Sensitivity models adjusting for county sociodemographics (ACS)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injuries (base)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injuries (+ACS)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deaths (base)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 deaths (+ACS)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injuries (base)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injuries (+ACS)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deaths (base)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Indirect deaths (+ACS)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ICE quintile (per 1-quintile)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[0.44, 0.53]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[0.82, 1.10]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[0.59, 0.69]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[0.77, 1.01]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[0.54,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[0.56, 1.37]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[0.48, 0.89]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[0.47, 1.27]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non-Hispanic Black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[1.12, 1.46]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[0.83, 1.07]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[0.54, 1.18]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[0.64, 1.80]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HH income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[0.25, 0.38]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[0.40, 0.59]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[0.31, 1.04]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[0.30, 1.17]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age ≥65 (z)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[0.94, 1.23]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[1.19, 1.52]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[0.61, 1.37]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[1.43, 3.39]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111252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111246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111252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111246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111252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111246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111252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111246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Marg.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Cond.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15981.4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15893.9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2129.7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28683.3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28587.5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15970.9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2186.0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2206.6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2026-03-18T13:22:15Z</dcterms:modified>
  <cp:category/>
</cp:coreProperties>
</file>