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Supplementary Table 2. Multilevel zero-inflated negative binomial regression estimates using ICE quintiles as a categorical exposure (reference = Q1, most disadvantaged)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44"/>
        <w:gridCol w:w="3088"/>
        <w:gridCol w:w="3052"/>
        <w:gridCol w:w="3235"/>
        <w:gridCol w:w="319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 quintile (ref = Q1)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injuries IRR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deaths IRR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injuries IRR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deaths IRR [95% CI]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[0.30, 0.58]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 [0.41, 0.77]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[0.24, 3.06]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[0.45, 3.97]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 [0.11,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[0.32, 0.60]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[0.25, 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 [0.21, 2.09]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[0.11, 0.22]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 [0.22, 0.43]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 [0.04,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[0.11, 1.47]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 [0.03, 0.06]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 [0.10, 0.20]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[0.08, 1.30]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 [0.06, 0.94]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2026-03-18T13:32:13Z</dcterms:modified>
  <cp:category/>
</cp:coreProperties>
</file>