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Storm-Related Health Outcomes by ICE Quintile, 2005–2022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4750"/>
        <w:tblLook w:firstRow="1" w:lastRow="0" w:firstColumn="0" w:lastColumn="0" w:noHBand="0" w:noVBand="1"/>
      </w:tblP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ice_quintile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Storm 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Injuries (per 100,000 people)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Deaths (per 100,000 people)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Injuries (per 100,000 people)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 Deaths (per 100,000 people)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2026-05-10T23:35:41Z</dcterms:modified>
  <cp:category/>
</cp:coreProperties>
</file>