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Sensitivity models adjusting for county sociodemographics (ACS)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injuries (base)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injuries (+ACS)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deaths (base)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deaths (+ACS)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injuries (base)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injuries (+ACS)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deaths (base)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deaths (+ACS)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 quintile (per 1-quintile)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[0.44,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1.10]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[0.59, 0.69]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1.01]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[0.54,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[0.56, 1.37]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[0.48, 0.89]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[0.47, 1.27]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non-Hispanic Black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[1.12, 1.46]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1.07]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[0.54,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[0.64, 1.80]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HH income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[0.25,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[0.40,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[0.31, 1.04]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[0.30, 1.17]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age ≥65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[0.94, 1.23]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[1.19, 1.52]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[0.61, 1.37]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[1.43, 3.39]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111252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111246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111252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111246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111252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111246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111252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111246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Marg.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Cond.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15981.4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2129.7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28683.3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28587.5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15970.9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2206.6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2026-05-10T23:52:01Z</dcterms:modified>
  <cp:category/>
</cp:coreProperties>
</file>