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Supreme Court Reports — Deployment Guide</w:t>
      </w:r>
    </w:p>
    <w:p>
      <w:pPr>
        <w:pStyle w:val="Heading2"/>
      </w:pPr>
      <w:r>
        <w:t>Overview</w:t>
      </w:r>
    </w:p>
    <w:p>
      <w:r>
        <w:t>The Supreme Court Reports (SCR) are monthly statistical reports submitted by Montgomery County judges to the Ohio Supreme Court. Each judge submits one or more report forms (A, B, AJ, IJ) covering their caseload for a given month. The reports are generated as PDFs or Excel files from within eCourt.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Form</w:t>
            </w:r>
          </w:p>
        </w:tc>
        <w:tc>
          <w:tcPr>
            <w:tcW w:type="dxa" w:w="2880"/>
          </w:tcPr>
          <w:p>
            <w:r>
              <w:rPr>
                <w:b/>
              </w:rPr>
            </w:r>
            <w:r>
              <w:rPr>
                <w:b/>
              </w:rPr>
              <w:t>Description</w:t>
            </w:r>
          </w:p>
        </w:tc>
        <w:tc>
          <w:tcPr>
            <w:tcW w:type="dxa" w:w="2880"/>
          </w:tcPr>
          <w:p>
            <w:r>
              <w:rPr>
                <w:b/>
              </w:rPr>
            </w:r>
            <w:r>
              <w:rPr>
                <w:b/>
              </w:rPr>
              <w:t>Original Jira</w:t>
            </w:r>
          </w:p>
        </w:tc>
      </w:tr>
      <w:tr>
        <w:tc>
          <w:tcPr>
            <w:tcW w:type="dxa" w:w="2880"/>
          </w:tcPr>
          <w:p>
            <w:r/>
            <w:r>
              <w:t>Form A</w:t>
            </w:r>
          </w:p>
        </w:tc>
        <w:tc>
          <w:tcPr>
            <w:tcW w:type="dxa" w:w="2880"/>
          </w:tcPr>
          <w:p>
            <w:r/>
            <w:r>
              <w:t>Common Pleas, General Division</w:t>
            </w:r>
          </w:p>
        </w:tc>
        <w:tc>
          <w:tcPr>
            <w:tcW w:type="dxa" w:w="2880"/>
          </w:tcPr>
          <w:p>
            <w:r/>
            <w:r>
              <w:t>MCOE-800</w:t>
            </w:r>
          </w:p>
        </w:tc>
      </w:tr>
      <w:tr>
        <w:tc>
          <w:tcPr>
            <w:tcW w:type="dxa" w:w="2880"/>
          </w:tcPr>
          <w:p>
            <w:r/>
            <w:r>
              <w:t>Form B</w:t>
            </w:r>
          </w:p>
        </w:tc>
        <w:tc>
          <w:tcPr>
            <w:tcW w:type="dxa" w:w="2880"/>
          </w:tcPr>
          <w:p>
            <w:r/>
            <w:r>
              <w:t>Common Pleas, Domestic Relations Division</w:t>
            </w:r>
          </w:p>
        </w:tc>
        <w:tc>
          <w:tcPr>
            <w:tcW w:type="dxa" w:w="2880"/>
          </w:tcPr>
          <w:p>
            <w:r/>
            <w:r>
              <w:t>MCOE-873</w:t>
            </w:r>
          </w:p>
        </w:tc>
      </w:tr>
      <w:tr>
        <w:tc>
          <w:tcPr>
            <w:tcW w:type="dxa" w:w="2880"/>
          </w:tcPr>
          <w:p>
            <w:r/>
            <w:r>
              <w:t>Form C</w:t>
            </w:r>
          </w:p>
        </w:tc>
        <w:tc>
          <w:tcPr>
            <w:tcW w:type="dxa" w:w="2880"/>
          </w:tcPr>
          <w:p>
            <w:r/>
            <w:r>
              <w:t>Common Pleas, Probate Division</w:t>
            </w:r>
          </w:p>
        </w:tc>
        <w:tc>
          <w:tcPr>
            <w:tcW w:type="dxa" w:w="2880"/>
          </w:tcPr>
          <w:p>
            <w:r/>
            <w:r>
              <w:t>MCOE-892</w:t>
            </w:r>
          </w:p>
        </w:tc>
      </w:tr>
      <w:tr>
        <w:tc>
          <w:tcPr>
            <w:tcW w:type="dxa" w:w="2880"/>
          </w:tcPr>
          <w:p>
            <w:r/>
            <w:r>
              <w:t>Form AJ</w:t>
            </w:r>
          </w:p>
        </w:tc>
        <w:tc>
          <w:tcPr>
            <w:tcW w:type="dxa" w:w="2880"/>
          </w:tcPr>
          <w:p>
            <w:r/>
            <w:r>
              <w:t>Administrative Judge</w:t>
            </w:r>
          </w:p>
        </w:tc>
        <w:tc>
          <w:tcPr>
            <w:tcW w:type="dxa" w:w="2880"/>
          </w:tcPr>
          <w:p>
            <w:r/>
            <w:r>
              <w:t>MCOE-1607</w:t>
            </w:r>
          </w:p>
        </w:tc>
      </w:tr>
      <w:tr>
        <w:tc>
          <w:tcPr>
            <w:tcW w:type="dxa" w:w="2880"/>
          </w:tcPr>
          <w:p>
            <w:r/>
            <w:r>
              <w:t>Form IJ</w:t>
            </w:r>
          </w:p>
        </w:tc>
        <w:tc>
          <w:tcPr>
            <w:tcW w:type="dxa" w:w="2880"/>
          </w:tcPr>
          <w:p>
            <w:r/>
            <w:r>
              <w:t>Individual Judge</w:t>
            </w:r>
          </w:p>
        </w:tc>
        <w:tc>
          <w:tcPr>
            <w:tcW w:type="dxa" w:w="2880"/>
          </w:tcPr>
          <w:p>
            <w:r/>
            <w:r>
              <w:t>MCOE-1608</w:t>
            </w:r>
          </w:p>
        </w:tc>
      </w:tr>
    </w:tbl>
    <w:p/>
    <w:p>
      <w:r>
        <w:t>Forms A, B, AJ, and IJ share a common datasource business rule (</w:t>
      </w:r>
      <w:r>
        <w:rPr>
          <w:rFonts w:ascii="Courier New" w:hAnsi="Courier New"/>
          <w:sz w:val="18"/>
        </w:rPr>
        <w:t>SUPREME_COURT_REPORTS</w:t>
      </w:r>
      <w:r>
        <w:t>) driven by lookup list attributes, with a JasperReports template (</w:t>
      </w:r>
      <w:r>
        <w:rPr>
          <w:rFonts w:ascii="Courier New" w:hAnsi="Courier New"/>
          <w:sz w:val="18"/>
        </w:rPr>
        <w:t>SCR_v2.jrxml</w:t>
      </w:r>
      <w:r>
        <w:t>) for rendering. Form C (Probate) is a separate report with its own rule and JRXML — it uses a direct SQL query and has no lookup list dependencies. The sections below cover both, with Form C documented separately at the end.</w:t>
      </w:r>
    </w:p>
    <w:p>
      <w:pPr>
        <w:pStyle w:val="Heading2"/>
      </w:pPr>
      <w:r>
        <w:t>Architecture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Component</w:t>
            </w:r>
          </w:p>
        </w:tc>
        <w:tc>
          <w:tcPr>
            <w:tcW w:type="dxa" w:w="4320"/>
          </w:tcPr>
          <w:p>
            <w:r>
              <w:rPr>
                <w:b/>
              </w:rPr>
            </w:r>
            <w:r>
              <w:rPr>
                <w:b/>
              </w:rPr>
              <w:t>Description</w:t>
            </w:r>
          </w:p>
        </w:tc>
      </w:tr>
      <w:tr>
        <w:tc>
          <w:tcPr>
            <w:tcW w:type="dxa" w:w="4320"/>
          </w:tcPr>
          <w:p>
            <w:r/>
            <w:r/>
            <w:r>
              <w:rPr>
                <w:rFonts w:ascii="Courier New" w:hAnsi="Courier New"/>
                <w:sz w:val="18"/>
              </w:rPr>
              <w:t>SUPREME_COURT_REPORTS</w:t>
            </w:r>
            <w:r>
              <w:t xml:space="preserve"> (BR)</w:t>
            </w:r>
          </w:p>
        </w:tc>
        <w:tc>
          <w:tcPr>
            <w:tcW w:type="dxa" w:w="4320"/>
          </w:tcPr>
          <w:p>
            <w:r/>
            <w:r>
              <w:t>Datasource rule for Forms A/B/AJ/IJ. Queries CaseDispositions, applies judge/period filters, and emits a flat list of cell-data maps for the crosstab.</w:t>
            </w:r>
          </w:p>
        </w:tc>
      </w:tr>
      <w:tr>
        <w:tc>
          <w:tcPr>
            <w:tcW w:type="dxa" w:w="4320"/>
          </w:tcPr>
          <w:p>
            <w:r/>
            <w:r/>
            <w:r>
              <w:rPr>
                <w:rFonts w:ascii="Courier New" w:hAnsi="Courier New"/>
                <w:sz w:val="18"/>
              </w:rPr>
              <w:t>SCR_v2.jrxml</w:t>
            </w:r>
            <w:r/>
          </w:p>
        </w:tc>
        <w:tc>
          <w:tcPr>
            <w:tcW w:type="dxa" w:w="4320"/>
          </w:tcPr>
          <w:p>
            <w:r/>
            <w:r>
              <w:t>JasperReports template for Forms A/B/AJ/IJ. Renders the header, case detail section, and summary crosstab from the BR output.</w:t>
            </w:r>
          </w:p>
        </w:tc>
      </w:tr>
      <w:tr>
        <w:tc>
          <w:tcPr>
            <w:tcW w:type="dxa" w:w="4320"/>
          </w:tcPr>
          <w:p>
            <w:r/>
            <w:r>
              <w:t>Lookup Lists</w:t>
            </w:r>
          </w:p>
        </w:tc>
        <w:tc>
          <w:tcPr>
            <w:tcW w:type="dxa" w:w="4320"/>
          </w:tcPr>
          <w:p>
            <w:r/>
            <w:r>
              <w:t>Drive the A/B/AJ/IJ report structure — columns, rows, reportable case types, and disposition mappings are all lookup-list-controlled. See [Lookup List Configuration](#lookup-list-configuration) below.</w:t>
            </w:r>
          </w:p>
        </w:tc>
      </w:tr>
      <w:tr>
        <w:tc>
          <w:tcPr>
            <w:tcW w:type="dxa" w:w="4320"/>
          </w:tcPr>
          <w:p>
            <w:r/>
            <w:r>
              <w:t>System Properties</w:t>
            </w:r>
          </w:p>
        </w:tc>
        <w:tc>
          <w:tcPr>
            <w:tcW w:type="dxa" w:w="4320"/>
          </w:tcPr>
          <w:p>
            <w:r/>
            <w:r>
              <w:t>Supply the notification email address per report form (A/B/AJ/IJ).</w:t>
            </w:r>
          </w:p>
        </w:tc>
      </w:tr>
      <w:tr>
        <w:tc>
          <w:tcPr>
            <w:tcW w:type="dxa" w:w="4320"/>
          </w:tcPr>
          <w:p>
            <w:r/>
            <w:r/>
            <w:r>
              <w:rPr>
                <w:rFonts w:ascii="Courier New" w:hAnsi="Courier New"/>
                <w:sz w:val="18"/>
              </w:rPr>
              <w:t>SUPREME_COURT_REPORT_C</w:t>
            </w:r>
            <w:r>
              <w:t xml:space="preserve"> (BR)</w:t>
            </w:r>
          </w:p>
        </w:tc>
        <w:tc>
          <w:tcPr>
            <w:tcW w:type="dxa" w:w="4320"/>
          </w:tcPr>
          <w:p>
            <w:r/>
            <w:r>
              <w:t>Datasource rule for Form C. Runs a direct SQL query against Probate cases — no lookup list dependencies.</w:t>
            </w:r>
          </w:p>
        </w:tc>
      </w:tr>
      <w:tr>
        <w:tc>
          <w:tcPr>
            <w:tcW w:type="dxa" w:w="4320"/>
          </w:tcPr>
          <w:p>
            <w:r/>
            <w:r/>
            <w:r>
              <w:rPr>
                <w:rFonts w:ascii="Courier New" w:hAnsi="Courier New"/>
                <w:sz w:val="18"/>
              </w:rPr>
              <w:t>Form_C_Groovy.jrxml</w:t>
            </w:r>
            <w:r/>
          </w:p>
        </w:tc>
        <w:tc>
          <w:tcPr>
            <w:tcW w:type="dxa" w:w="4320"/>
          </w:tcPr>
          <w:p>
            <w:r/>
            <w:r>
              <w:t>JasperReports template for Form C.</w:t>
            </w:r>
          </w:p>
        </w:tc>
      </w:tr>
    </w:tbl>
    <w:p/>
    <w:p>
      <w:pPr>
        <w:pStyle w:val="Heading2"/>
      </w:pPr>
      <w:r>
        <w:t>Deploy the Business Rule</w:t>
      </w:r>
    </w:p>
    <w:p>
      <w:r>
        <w:t xml:space="preserve">Deploy </w:t>
      </w:r>
      <w:r>
        <w:rPr>
          <w:rFonts w:ascii="Courier New" w:hAnsi="Courier New"/>
          <w:sz w:val="18"/>
        </w:rPr>
        <w:t>SUPREME_COURT_REPORTS</w:t>
      </w:r>
      <w:r>
        <w:t xml:space="preserve"> (from </w:t>
      </w:r>
      <w:r>
        <w:rPr>
          <w:rFonts w:ascii="Courier New" w:hAnsi="Courier New"/>
          <w:sz w:val="18"/>
        </w:rPr>
        <w:t>SCR_V3.groovy</w:t>
      </w:r>
      <w:r>
        <w:t xml:space="preserve">) as a </w:t>
      </w:r>
      <w:r>
        <w:rPr>
          <w:b/>
        </w:rPr>
        <w:t>Datasource</w:t>
      </w:r>
      <w:r>
        <w:t xml:space="preserve"> business rule in the eCourt admin UI.</w:t>
      </w:r>
    </w:p>
    <w:p>
      <w:pPr>
        <w:pStyle w:val="Heading3"/>
      </w:pPr>
      <w:r>
        <w:t>Report Code and Name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Report Code</w:t>
            </w:r>
          </w:p>
        </w:tc>
        <w:tc>
          <w:tcPr>
            <w:tcW w:type="dxa" w:w="4320"/>
          </w:tcPr>
          <w:p>
            <w:r/>
            <w:r/>
            <w:r>
              <w:rPr>
                <w:rFonts w:ascii="Courier New" w:hAnsi="Courier New"/>
                <w:sz w:val="18"/>
              </w:rPr>
              <w:t>SUPREME_COURT_REPORTS</w:t>
            </w:r>
            <w:r/>
          </w:p>
        </w:tc>
      </w:tr>
      <w:tr>
        <w:tc>
          <w:tcPr>
            <w:tcW w:type="dxa" w:w="4320"/>
          </w:tcPr>
          <w:p>
            <w:r/>
            <w:r>
              <w:t>Report Name</w:t>
            </w:r>
          </w:p>
        </w:tc>
        <w:tc>
          <w:tcPr>
            <w:tcW w:type="dxa" w:w="4320"/>
          </w:tcPr>
          <w:p>
            <w:r/>
            <w:r>
              <w:t>Supreme Court Reports</w:t>
            </w:r>
          </w:p>
        </w:tc>
      </w:tr>
      <w:tr>
        <w:tc>
          <w:tcPr>
            <w:tcW w:type="dxa" w:w="4320"/>
          </w:tcPr>
          <w:p>
            <w:r/>
            <w:r>
              <w:t>Report Style</w:t>
            </w:r>
          </w:p>
        </w:tc>
        <w:tc>
          <w:tcPr>
            <w:tcW w:type="dxa" w:w="4320"/>
          </w:tcPr>
          <w:p>
            <w:r/>
            <w:r>
              <w:t>Headless</w:t>
            </w:r>
          </w:p>
        </w:tc>
      </w:tr>
      <w:tr>
        <w:tc>
          <w:tcPr>
            <w:tcW w:type="dxa" w:w="4320"/>
          </w:tcPr>
          <w:p>
            <w:r/>
            <w:r>
              <w:t>Root Entity</w:t>
            </w:r>
          </w:p>
        </w:tc>
        <w:tc>
          <w:tcPr>
            <w:tcW w:type="dxa" w:w="4320"/>
          </w:tcPr>
          <w:p>
            <w:r/>
            <w:r/>
            <w:r>
              <w:rPr>
                <w:rFonts w:ascii="Courier New" w:hAnsi="Courier New"/>
                <w:sz w:val="18"/>
              </w:rPr>
              <w:t>CaseDisposition</w:t>
            </w:r>
            <w:r/>
          </w:p>
        </w:tc>
      </w:tr>
      <w:tr>
        <w:tc>
          <w:tcPr>
            <w:tcW w:type="dxa" w:w="4320"/>
          </w:tcPr>
          <w:p>
            <w:r/>
            <w:r>
              <w:t>Formats</w:t>
            </w:r>
          </w:p>
        </w:tc>
        <w:tc>
          <w:tcPr>
            <w:tcW w:type="dxa" w:w="4320"/>
          </w:tcPr>
          <w:p>
            <w:r/>
            <w:r>
              <w:t>PDF, XLS</w:t>
            </w:r>
          </w:p>
        </w:tc>
      </w:tr>
    </w:tbl>
    <w:p/>
    <w:p>
      <w:pPr>
        <w:pStyle w:val="Heading3"/>
      </w:pPr>
      <w:r>
        <w:t>Input Parameters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Name</w:t>
            </w:r>
          </w:p>
        </w:tc>
        <w:tc>
          <w:tcPr>
            <w:tcW w:type="dxa" w:w="1728"/>
          </w:tcPr>
          <w:p>
            <w:r>
              <w:rPr>
                <w:b/>
              </w:rPr>
            </w:r>
            <w:r>
              <w:rPr>
                <w:b/>
              </w:rPr>
              <w:t>Type</w:t>
            </w:r>
          </w:p>
        </w:tc>
        <w:tc>
          <w:tcPr>
            <w:tcW w:type="dxa" w:w="1728"/>
          </w:tcPr>
          <w:p>
            <w:r>
              <w:rPr>
                <w:b/>
              </w:rPr>
            </w:r>
            <w:r>
              <w:rPr>
                <w:b/>
              </w:rPr>
              <w:t>Method</w:t>
            </w:r>
          </w:p>
        </w:tc>
        <w:tc>
          <w:tcPr>
            <w:tcW w:type="dxa" w:w="1728"/>
          </w:tcPr>
          <w:p>
            <w:r>
              <w:rPr>
                <w:b/>
              </w:rPr>
            </w:r>
            <w:r>
              <w:rPr>
                <w:b/>
              </w:rPr>
              <w:t>Required</w:t>
            </w:r>
          </w:p>
        </w:tc>
        <w:tc>
          <w:tcPr>
            <w:tcW w:type="dxa" w:w="1728"/>
          </w:tcPr>
          <w:p>
            <w:r>
              <w:rPr>
                <w:b/>
              </w:rPr>
            </w:r>
            <w:r>
              <w:rPr>
                <w:b/>
              </w:rPr>
              <w:t>Description</w:t>
            </w:r>
          </w:p>
        </w:tc>
      </w:tr>
      <w:tr>
        <w:tc>
          <w:tcPr>
            <w:tcW w:type="dxa" w:w="1728"/>
          </w:tcPr>
          <w:p>
            <w:r/>
            <w:r/>
            <w:r>
              <w:rPr>
                <w:rFonts w:ascii="Courier New" w:hAnsi="Courier New"/>
                <w:sz w:val="18"/>
              </w:rPr>
              <w:t>_report</w:t>
            </w:r>
            <w:r/>
          </w:p>
        </w:tc>
        <w:tc>
          <w:tcPr>
            <w:tcW w:type="dxa" w:w="1728"/>
          </w:tcPr>
          <w:p>
            <w:r/>
            <w:r>
              <w:t>String</w:t>
            </w:r>
          </w:p>
        </w:tc>
        <w:tc>
          <w:tcPr>
            <w:tcW w:type="dxa" w:w="1728"/>
          </w:tcPr>
          <w:p>
            <w:r/>
            <w:r>
              <w:t>Dropdown — Query</w:t>
            </w:r>
          </w:p>
        </w:tc>
        <w:tc>
          <w:tcPr>
            <w:tcW w:type="dxa" w:w="1728"/>
          </w:tcPr>
          <w:p>
            <w:r/>
            <w:r>
              <w:t>Yes</w:t>
            </w:r>
          </w:p>
        </w:tc>
        <w:tc>
          <w:tcPr>
            <w:tcW w:type="dxa" w:w="1728"/>
          </w:tcPr>
          <w:p>
            <w:r/>
            <w:r>
              <w:t xml:space="preserve">Display name of the report form (e.g., </w:t>
            </w:r>
            <w:r>
              <w:rPr>
                <w:rFonts w:ascii="Courier New" w:hAnsi="Courier New"/>
                <w:sz w:val="18"/>
              </w:rPr>
              <w:t>"Form A - Common Pleas, General Division"</w:t>
            </w:r>
            <w:r>
              <w:t>). The rule extracts the letter from the second token.</w:t>
            </w:r>
          </w:p>
        </w:tc>
      </w:tr>
      <w:tr>
        <w:tc>
          <w:tcPr>
            <w:tcW w:type="dxa" w:w="1728"/>
          </w:tcPr>
          <w:p>
            <w:r/>
            <w:r/>
            <w:r>
              <w:rPr>
                <w:rFonts w:ascii="Courier New" w:hAnsi="Courier New"/>
                <w:sz w:val="18"/>
              </w:rPr>
              <w:t>_reportMonth</w:t>
            </w:r>
            <w:r/>
          </w:p>
        </w:tc>
        <w:tc>
          <w:tcPr>
            <w:tcW w:type="dxa" w:w="1728"/>
          </w:tcPr>
          <w:p>
            <w:r/>
            <w:r>
              <w:t>Integer</w:t>
            </w:r>
          </w:p>
        </w:tc>
        <w:tc>
          <w:tcPr>
            <w:tcW w:type="dxa" w:w="1728"/>
          </w:tcPr>
          <w:p>
            <w:r/>
            <w:r>
              <w:t xml:space="preserve">Dropdown — Static list </w:t>
            </w:r>
            <w:r>
              <w:rPr>
                <w:rFonts w:ascii="Courier New" w:hAnsi="Courier New"/>
                <w:sz w:val="18"/>
              </w:rPr>
              <w:t>1–12</w:t>
            </w:r>
            <w:r/>
          </w:p>
        </w:tc>
        <w:tc>
          <w:tcPr>
            <w:tcW w:type="dxa" w:w="1728"/>
          </w:tcPr>
          <w:p>
            <w:r/>
            <w:r>
              <w:t>Yes</w:t>
            </w:r>
          </w:p>
        </w:tc>
        <w:tc>
          <w:tcPr>
            <w:tcW w:type="dxa" w:w="1728"/>
          </w:tcPr>
          <w:p>
            <w:r/>
            <w:r>
              <w:t>Month of the reporting period.</w:t>
            </w:r>
          </w:p>
        </w:tc>
      </w:tr>
      <w:tr>
        <w:tc>
          <w:tcPr>
            <w:tcW w:type="dxa" w:w="1728"/>
          </w:tcPr>
          <w:p>
            <w:r/>
            <w:r/>
            <w:r>
              <w:rPr>
                <w:rFonts w:ascii="Courier New" w:hAnsi="Courier New"/>
                <w:sz w:val="18"/>
              </w:rPr>
              <w:t>_reportYear</w:t>
            </w:r>
            <w:r/>
          </w:p>
        </w:tc>
        <w:tc>
          <w:tcPr>
            <w:tcW w:type="dxa" w:w="1728"/>
          </w:tcPr>
          <w:p>
            <w:r/>
            <w:r>
              <w:t>Integer</w:t>
            </w:r>
          </w:p>
        </w:tc>
        <w:tc>
          <w:tcPr>
            <w:tcW w:type="dxa" w:w="1728"/>
          </w:tcPr>
          <w:p>
            <w:r/>
            <w:r>
              <w:t>Dropdown — Query</w:t>
            </w:r>
          </w:p>
        </w:tc>
        <w:tc>
          <w:tcPr>
            <w:tcW w:type="dxa" w:w="1728"/>
          </w:tcPr>
          <w:p>
            <w:r/>
            <w:r>
              <w:t>Yes</w:t>
            </w:r>
          </w:p>
        </w:tc>
        <w:tc>
          <w:tcPr>
            <w:tcW w:type="dxa" w:w="1728"/>
          </w:tcPr>
          <w:p>
            <w:r/>
            <w:r>
              <w:t>Year of the reporting period.</w:t>
            </w:r>
          </w:p>
        </w:tc>
      </w:tr>
      <w:tr>
        <w:tc>
          <w:tcPr>
            <w:tcW w:type="dxa" w:w="1728"/>
          </w:tcPr>
          <w:p>
            <w:r/>
            <w:r/>
            <w:r>
              <w:rPr>
                <w:rFonts w:ascii="Courier New" w:hAnsi="Courier New"/>
                <w:sz w:val="18"/>
              </w:rPr>
              <w:t>_judge</w:t>
            </w:r>
            <w:r/>
          </w:p>
        </w:tc>
        <w:tc>
          <w:tcPr>
            <w:tcW w:type="dxa" w:w="1728"/>
          </w:tcPr>
          <w:p>
            <w:r/>
            <w:r>
              <w:t>String</w:t>
            </w:r>
          </w:p>
        </w:tc>
        <w:tc>
          <w:tcPr>
            <w:tcW w:type="dxa" w:w="1728"/>
          </w:tcPr>
          <w:p>
            <w:r/>
            <w:r>
              <w:t>Dropdown — Query</w:t>
            </w:r>
          </w:p>
        </w:tc>
        <w:tc>
          <w:tcPr>
            <w:tcW w:type="dxa" w:w="1728"/>
          </w:tcPr>
          <w:p>
            <w:r/>
            <w:r>
              <w:t>Yes</w:t>
            </w:r>
          </w:p>
        </w:tc>
        <w:tc>
          <w:tcPr>
            <w:tcW w:type="dxa" w:w="1728"/>
          </w:tcPr>
          <w:p>
            <w:r/>
            <w:r>
              <w:t>Judge selector. The rule extracts the DirPerson code from the last token.</w:t>
            </w:r>
          </w:p>
        </w:tc>
      </w:tr>
      <w:tr>
        <w:tc>
          <w:tcPr>
            <w:tcW w:type="dxa" w:w="1728"/>
          </w:tcPr>
          <w:p>
            <w:r/>
            <w:r/>
            <w:r>
              <w:rPr>
                <w:rFonts w:ascii="Courier New" w:hAnsi="Courier New"/>
                <w:sz w:val="18"/>
              </w:rPr>
              <w:t>_caseDetails</w:t>
            </w:r>
            <w:r/>
          </w:p>
        </w:tc>
        <w:tc>
          <w:tcPr>
            <w:tcW w:type="dxa" w:w="1728"/>
          </w:tcPr>
          <w:p>
            <w:r/>
            <w:r>
              <w:t>String</w:t>
            </w:r>
          </w:p>
        </w:tc>
        <w:tc>
          <w:tcPr>
            <w:tcW w:type="dxa" w:w="1728"/>
          </w:tcPr>
          <w:p>
            <w:r/>
            <w:r>
              <w:t>Dropdown — Static</w:t>
            </w:r>
          </w:p>
        </w:tc>
        <w:tc>
          <w:tcPr>
            <w:tcW w:type="dxa" w:w="1728"/>
          </w:tcPr>
          <w:p>
            <w:r/>
            <w:r>
              <w:t>No</w:t>
            </w:r>
          </w:p>
        </w:tc>
        <w:tc>
          <w:tcPr>
            <w:tcW w:type="dxa" w:w="1728"/>
          </w:tcPr>
          <w:p>
            <w:r/>
            <w:r>
              <w:t xml:space="preserve">One of: *(blank)*, </w:t>
            </w:r>
            <w:r>
              <w:rPr>
                <w:rFonts w:ascii="Courier New" w:hAnsi="Courier New"/>
                <w:sz w:val="18"/>
              </w:rPr>
              <w:t>Show Case Details</w:t>
            </w:r>
            <w:r>
              <w:t xml:space="preserve">, </w:t>
            </w:r>
            <w:r>
              <w:rPr>
                <w:rFonts w:ascii="Courier New" w:hAnsi="Courier New"/>
                <w:sz w:val="18"/>
              </w:rPr>
              <w:t>Show Case Details + Removed Cases</w:t>
            </w:r>
            <w:r>
              <w:t>. Controls whether the detail section prints and whether removed cases are shown.</w:t>
            </w:r>
          </w:p>
        </w:tc>
      </w:tr>
      <w:tr>
        <w:tc>
          <w:tcPr>
            <w:tcW w:type="dxa" w:w="1728"/>
          </w:tcPr>
          <w:p>
            <w:r/>
            <w:r/>
            <w:r>
              <w:rPr>
                <w:rFonts w:ascii="Courier New" w:hAnsi="Courier New"/>
                <w:sz w:val="18"/>
              </w:rPr>
              <w:t>_cutoff</w:t>
            </w:r>
            <w:r/>
          </w:p>
        </w:tc>
        <w:tc>
          <w:tcPr>
            <w:tcW w:type="dxa" w:w="1728"/>
          </w:tcPr>
          <w:p>
            <w:r/>
            <w:r>
              <w:t>Date</w:t>
            </w:r>
          </w:p>
        </w:tc>
        <w:tc>
          <w:tcPr>
            <w:tcW w:type="dxa" w:w="1728"/>
          </w:tcPr>
          <w:p>
            <w:r/>
            <w:r>
              <w:t>Hidden</w:t>
            </w:r>
          </w:p>
        </w:tc>
        <w:tc>
          <w:tcPr>
            <w:tcW w:type="dxa" w:w="1728"/>
          </w:tcPr>
          <w:p>
            <w:r/>
            <w:r>
              <w:t>No</w:t>
            </w:r>
          </w:p>
        </w:tc>
        <w:tc>
          <w:tcPr>
            <w:tcW w:type="dxa" w:w="1728"/>
          </w:tcPr>
          <w:p>
            <w:r/>
            <w:r>
              <w:t xml:space="preserve">Exclude cases filed before this date. Defaults to </w:t>
            </w:r>
            <w:r>
              <w:rPr>
                <w:rFonts w:ascii="Courier New" w:hAnsi="Courier New"/>
                <w:sz w:val="18"/>
              </w:rPr>
              <w:t>01/01/2010</w:t>
            </w:r>
            <w:r>
              <w:t xml:space="preserve"> if not provided.</w:t>
            </w:r>
          </w:p>
        </w:tc>
      </w:tr>
      <w:tr>
        <w:tc>
          <w:tcPr>
            <w:tcW w:type="dxa" w:w="1728"/>
          </w:tcPr>
          <w:p>
            <w:r/>
            <w:r/>
            <w:r>
              <w:rPr>
                <w:rFonts w:ascii="Courier New" w:hAnsi="Courier New"/>
                <w:sz w:val="18"/>
              </w:rPr>
              <w:t>_columns</w:t>
            </w:r>
            <w:r/>
          </w:p>
        </w:tc>
        <w:tc>
          <w:tcPr>
            <w:tcW w:type="dxa" w:w="1728"/>
          </w:tcPr>
          <w:p>
            <w:r/>
            <w:r>
              <w:t>String</w:t>
            </w:r>
          </w:p>
        </w:tc>
        <w:tc>
          <w:tcPr>
            <w:tcW w:type="dxa" w:w="1728"/>
          </w:tcPr>
          <w:p>
            <w:r/>
            <w:r>
              <w:t>Hidden / BR page only</w:t>
            </w:r>
          </w:p>
        </w:tc>
        <w:tc>
          <w:tcPr>
            <w:tcW w:type="dxa" w:w="1728"/>
          </w:tcPr>
          <w:p>
            <w:r/>
            <w:r>
              <w:t>No</w:t>
            </w:r>
          </w:p>
        </w:tc>
        <w:tc>
          <w:tcPr>
            <w:tcW w:type="dxa" w:w="1728"/>
          </w:tcPr>
          <w:p>
            <w:r/>
            <w:r>
              <w:t>Comma-delimited column letters to restrict output to (for testing).</w:t>
            </w:r>
          </w:p>
        </w:tc>
      </w:tr>
      <w:tr>
        <w:tc>
          <w:tcPr>
            <w:tcW w:type="dxa" w:w="1728"/>
          </w:tcPr>
          <w:p>
            <w:r/>
            <w:r/>
            <w:r>
              <w:rPr>
                <w:rFonts w:ascii="Courier New" w:hAnsi="Courier New"/>
                <w:sz w:val="18"/>
              </w:rPr>
              <w:t>_rows</w:t>
            </w:r>
            <w:r/>
          </w:p>
        </w:tc>
        <w:tc>
          <w:tcPr>
            <w:tcW w:type="dxa" w:w="1728"/>
          </w:tcPr>
          <w:p>
            <w:r/>
            <w:r>
              <w:t>String</w:t>
            </w:r>
          </w:p>
        </w:tc>
        <w:tc>
          <w:tcPr>
            <w:tcW w:type="dxa" w:w="1728"/>
          </w:tcPr>
          <w:p>
            <w:r/>
            <w:r>
              <w:t>Hidden / BR page only</w:t>
            </w:r>
          </w:p>
        </w:tc>
        <w:tc>
          <w:tcPr>
            <w:tcW w:type="dxa" w:w="1728"/>
          </w:tcPr>
          <w:p>
            <w:r/>
            <w:r>
              <w:t>No</w:t>
            </w:r>
          </w:p>
        </w:tc>
        <w:tc>
          <w:tcPr>
            <w:tcW w:type="dxa" w:w="1728"/>
          </w:tcPr>
          <w:p>
            <w:r/>
            <w:r>
              <w:t>Comma-delimited row numbers to restrict output to (for testing).</w:t>
            </w:r>
          </w:p>
        </w:tc>
      </w:tr>
    </w:tbl>
    <w:p/>
    <w:p>
      <w:pPr>
        <w:pStyle w:val="NoSpacing"/>
        <w:ind w:left="432"/>
      </w:pPr>
      <w:r/>
      <w:r>
        <w:rPr>
          <w:b/>
        </w:rPr>
        <w:t>BR page only (not on the report UI):</w:t>
      </w:r>
      <w:r>
        <w:t xml:space="preserve">  </w:t>
      </w:r>
    </w:p>
    <w:p/>
    <w:p>
      <w:pPr>
        <w:pStyle w:val="NoSpacing"/>
        <w:ind w:left="432"/>
      </w:pPr>
      <w:r/>
      <w:r>
        <w:rPr>
          <w:rFonts w:ascii="Courier New" w:hAnsi="Courier New"/>
          <w:sz w:val="18"/>
        </w:rPr>
        <w:t>_reportLetter</w:t>
      </w:r>
      <w:r>
        <w:t xml:space="preserve"> — letter shortcut for running directly from the BR page (bypasses the </w:t>
      </w:r>
      <w:r>
        <w:rPr>
          <w:rFonts w:ascii="Courier New" w:hAnsi="Courier New"/>
          <w:sz w:val="18"/>
        </w:rPr>
        <w:t>_report</w:t>
      </w:r>
      <w:r>
        <w:t xml:space="preserve"> tokenizing logic).  </w:t>
      </w:r>
    </w:p>
    <w:p/>
    <w:p>
      <w:pPr>
        <w:pStyle w:val="NoSpacing"/>
        <w:ind w:left="432"/>
      </w:pPr>
      <w:r/>
      <w:r>
        <w:rPr>
          <w:rFonts w:ascii="Courier New" w:hAnsi="Courier New"/>
          <w:sz w:val="18"/>
        </w:rPr>
        <w:t>_debug</w:t>
      </w:r>
      <w:r>
        <w:t xml:space="preserve"> — set to </w:t>
      </w:r>
      <w:r>
        <w:rPr>
          <w:rFonts w:ascii="Courier New" w:hAnsi="Courier New"/>
          <w:sz w:val="18"/>
        </w:rPr>
        <w:t>true</w:t>
      </w:r>
      <w:r>
        <w:t xml:space="preserve"> to enable verbose debug logging.</w:t>
      </w:r>
    </w:p>
    <w:p/>
    <w:p>
      <w:pPr>
        <w:pStyle w:val="Heading2"/>
      </w:pPr>
      <w:r>
        <w:t>Deploy the JRXML</w:t>
      </w:r>
    </w:p>
    <w:p>
      <w:r>
        <w:t xml:space="preserve">Upload </w:t>
      </w:r>
      <w:r>
        <w:rPr>
          <w:rFonts w:ascii="Courier New" w:hAnsi="Courier New"/>
          <w:sz w:val="18"/>
        </w:rPr>
        <w:t>SCR_v2.jrxml</w:t>
      </w:r>
      <w:r>
        <w:t xml:space="preserve"> to the report definition in the eCourt admin UI and associate it with the </w:t>
      </w:r>
      <w:r>
        <w:rPr>
          <w:rFonts w:ascii="Courier New" w:hAnsi="Courier New"/>
          <w:sz w:val="18"/>
        </w:rPr>
        <w:t>SUPREME_COURT_REPORTS</w:t>
      </w:r>
      <w:r>
        <w:t xml:space="preserve"> report code.</w:t>
      </w:r>
    </w:p>
    <w:p>
      <w:pPr>
        <w:pStyle w:val="Heading3"/>
      </w:pPr>
      <w:r>
        <w:t>JRXML Parameters</w:t>
      </w:r>
    </w:p>
    <w:p>
      <w:r>
        <w:t>After uploading the JRXML, configure the following parameters on the Report Admin page.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Parameter</w:t>
            </w:r>
          </w:p>
        </w:tc>
        <w:tc>
          <w:tcPr>
            <w:tcW w:type="dxa" w:w="960"/>
          </w:tcPr>
          <w:p>
            <w:r>
              <w:rPr>
                <w:b/>
              </w:rPr>
            </w:r>
            <w:r>
              <w:rPr>
                <w:b/>
              </w:rPr>
              <w:t>Data Type</w:t>
            </w:r>
          </w:p>
        </w:tc>
        <w:tc>
          <w:tcPr>
            <w:tcW w:type="dxa" w:w="960"/>
          </w:tcPr>
          <w:p>
            <w:r>
              <w:rPr>
                <w:b/>
              </w:rPr>
            </w:r>
            <w:r>
              <w:rPr>
                <w:b/>
              </w:rPr>
              <w:t>UI Type</w:t>
            </w:r>
          </w:p>
        </w:tc>
        <w:tc>
          <w:tcPr>
            <w:tcW w:type="dxa" w:w="960"/>
          </w:tcPr>
          <w:p>
            <w:r>
              <w:rPr>
                <w:b/>
              </w:rPr>
            </w:r>
            <w:r>
              <w:rPr>
                <w:b/>
              </w:rPr>
              <w:t>Method</w:t>
            </w:r>
          </w:p>
        </w:tc>
        <w:tc>
          <w:tcPr>
            <w:tcW w:type="dxa" w:w="960"/>
          </w:tcPr>
          <w:p>
            <w:r>
              <w:rPr>
                <w:b/>
              </w:rPr>
            </w:r>
            <w:r>
              <w:rPr>
                <w:b/>
              </w:rPr>
              <w:t>List Source</w:t>
            </w:r>
          </w:p>
        </w:tc>
        <w:tc>
          <w:tcPr>
            <w:tcW w:type="dxa" w:w="960"/>
          </w:tcPr>
          <w:p>
            <w:r>
              <w:rPr>
                <w:b/>
              </w:rPr>
            </w:r>
            <w:r>
              <w:rPr>
                <w:b/>
              </w:rPr>
              <w:t>Default</w:t>
            </w:r>
          </w:p>
        </w:tc>
        <w:tc>
          <w:tcPr>
            <w:tcW w:type="dxa" w:w="960"/>
          </w:tcPr>
          <w:p>
            <w:r>
              <w:rPr>
                <w:b/>
              </w:rPr>
            </w:r>
            <w:r>
              <w:rPr>
                <w:b/>
              </w:rPr>
              <w:t>Hidden</w:t>
            </w:r>
          </w:p>
        </w:tc>
        <w:tc>
          <w:tcPr>
            <w:tcW w:type="dxa" w:w="960"/>
          </w:tcPr>
          <w:p>
            <w:r>
              <w:rPr>
                <w:b/>
              </w:rPr>
            </w:r>
            <w:r>
              <w:rPr>
                <w:b/>
              </w:rPr>
              <w:t>Required</w:t>
            </w:r>
          </w:p>
        </w:tc>
        <w:tc>
          <w:tcPr>
            <w:tcW w:type="dxa" w:w="960"/>
          </w:tcPr>
          <w:p>
            <w:r>
              <w:rPr>
                <w:b/>
              </w:rPr>
            </w:r>
            <w:r>
              <w:rPr>
                <w:b/>
              </w:rPr>
              <w:t>Notes</w:t>
            </w:r>
          </w:p>
        </w:tc>
      </w:tr>
      <w:tr>
        <w:tc>
          <w:tcPr>
            <w:tcW w:type="dxa" w:w="960"/>
          </w:tcPr>
          <w:p>
            <w:r/>
            <w:r/>
            <w:r>
              <w:rPr>
                <w:rFonts w:ascii="Courier New" w:hAnsi="Courier New"/>
                <w:sz w:val="18"/>
              </w:rPr>
              <w:t>report</w:t>
            </w:r>
            <w:r/>
          </w:p>
        </w:tc>
        <w:tc>
          <w:tcPr>
            <w:tcW w:type="dxa" w:w="960"/>
          </w:tcPr>
          <w:p>
            <w:r/>
            <w:r>
              <w:t>String</w:t>
            </w:r>
          </w:p>
        </w:tc>
        <w:tc>
          <w:tcPr>
            <w:tcW w:type="dxa" w:w="960"/>
          </w:tcPr>
          <w:p>
            <w:r/>
            <w:r>
              <w:t>Dropdown</w:t>
            </w:r>
          </w:p>
        </w:tc>
        <w:tc>
          <w:tcPr>
            <w:tcW w:type="dxa" w:w="960"/>
          </w:tcPr>
          <w:p>
            <w:r/>
            <w:r>
              <w:t>User Input List</w:t>
            </w:r>
          </w:p>
        </w:tc>
        <w:tc>
          <w:tcPr>
            <w:tcW w:type="dxa" w:w="960"/>
          </w:tcPr>
          <w:p>
            <w:r/>
            <w:r>
              <w:t>¹</w:t>
            </w:r>
          </w:p>
        </w:tc>
        <w:tc>
          <w:tcPr>
            <w:tcW w:type="dxa" w:w="960"/>
          </w:tcPr>
          <w:p>
            <w:r/>
            <w:r>
              <w:t>—</w:t>
            </w:r>
          </w:p>
        </w:tc>
        <w:tc>
          <w:tcPr>
            <w:tcW w:type="dxa" w:w="960"/>
          </w:tcPr>
          <w:p>
            <w:r/>
            <w:r>
              <w:t>No</w:t>
            </w:r>
          </w:p>
        </w:tc>
        <w:tc>
          <w:tcPr>
            <w:tcW w:type="dxa" w:w="960"/>
          </w:tcPr>
          <w:p>
            <w:r/>
            <w:r>
              <w:t>Yes</w:t>
            </w:r>
          </w:p>
        </w:tc>
        <w:tc>
          <w:tcPr>
            <w:tcW w:type="dxa" w:w="960"/>
          </w:tcPr>
          <w:p>
            <w:r/>
            <w:r/>
          </w:p>
        </w:tc>
      </w:tr>
      <w:tr>
        <w:tc>
          <w:tcPr>
            <w:tcW w:type="dxa" w:w="960"/>
          </w:tcPr>
          <w:p>
            <w:r/>
            <w:r/>
            <w:r>
              <w:rPr>
                <w:rFonts w:ascii="Courier New" w:hAnsi="Courier New"/>
                <w:sz w:val="18"/>
              </w:rPr>
              <w:t>reportMonth</w:t>
            </w:r>
            <w:r/>
          </w:p>
        </w:tc>
        <w:tc>
          <w:tcPr>
            <w:tcW w:type="dxa" w:w="960"/>
          </w:tcPr>
          <w:p>
            <w:r/>
            <w:r>
              <w:t>Integer</w:t>
            </w:r>
          </w:p>
        </w:tc>
        <w:tc>
          <w:tcPr>
            <w:tcW w:type="dxa" w:w="960"/>
          </w:tcPr>
          <w:p>
            <w:r/>
            <w:r>
              <w:t>Dropdown</w:t>
            </w:r>
          </w:p>
        </w:tc>
        <w:tc>
          <w:tcPr>
            <w:tcW w:type="dxa" w:w="960"/>
          </w:tcPr>
          <w:p>
            <w:r/>
            <w:r>
              <w:t>User Input List</w:t>
            </w:r>
          </w:p>
        </w:tc>
        <w:tc>
          <w:tcPr>
            <w:tcW w:type="dxa" w:w="960"/>
          </w:tcPr>
          <w:p>
            <w:r/>
            <w:r/>
            <w:r>
              <w:rPr>
                <w:rFonts w:ascii="Courier New" w:hAnsi="Courier New"/>
                <w:sz w:val="18"/>
              </w:rPr>
              <w:t>1,2,3,4,5,6,7,8,9,10,11,12</w:t>
            </w:r>
            <w:r/>
          </w:p>
        </w:tc>
        <w:tc>
          <w:tcPr>
            <w:tcW w:type="dxa" w:w="960"/>
          </w:tcPr>
          <w:p>
            <w:r/>
            <w:r>
              <w:t>—</w:t>
            </w:r>
          </w:p>
        </w:tc>
        <w:tc>
          <w:tcPr>
            <w:tcW w:type="dxa" w:w="960"/>
          </w:tcPr>
          <w:p>
            <w:r/>
            <w:r>
              <w:t>No</w:t>
            </w:r>
          </w:p>
        </w:tc>
        <w:tc>
          <w:tcPr>
            <w:tcW w:type="dxa" w:w="960"/>
          </w:tcPr>
          <w:p>
            <w:r/>
            <w:r>
              <w:t>Yes</w:t>
            </w:r>
          </w:p>
        </w:tc>
        <w:tc>
          <w:tcPr>
            <w:tcW w:type="dxa" w:w="960"/>
          </w:tcPr>
          <w:p>
            <w:r/>
            <w:r/>
          </w:p>
        </w:tc>
      </w:tr>
      <w:tr>
        <w:tc>
          <w:tcPr>
            <w:tcW w:type="dxa" w:w="960"/>
          </w:tcPr>
          <w:p>
            <w:r/>
            <w:r/>
            <w:r>
              <w:rPr>
                <w:rFonts w:ascii="Courier New" w:hAnsi="Courier New"/>
                <w:sz w:val="18"/>
              </w:rPr>
              <w:t>reportYear</w:t>
            </w:r>
            <w:r/>
          </w:p>
        </w:tc>
        <w:tc>
          <w:tcPr>
            <w:tcW w:type="dxa" w:w="960"/>
          </w:tcPr>
          <w:p>
            <w:r/>
            <w:r>
              <w:t>Integer</w:t>
            </w:r>
          </w:p>
        </w:tc>
        <w:tc>
          <w:tcPr>
            <w:tcW w:type="dxa" w:w="960"/>
          </w:tcPr>
          <w:p>
            <w:r/>
            <w:r>
              <w:t>Dropdown</w:t>
            </w:r>
          </w:p>
        </w:tc>
        <w:tc>
          <w:tcPr>
            <w:tcW w:type="dxa" w:w="960"/>
          </w:tcPr>
          <w:p>
            <w:r/>
            <w:r>
              <w:t>Query</w:t>
            </w:r>
          </w:p>
        </w:tc>
        <w:tc>
          <w:tcPr>
            <w:tcW w:type="dxa" w:w="960"/>
          </w:tcPr>
          <w:p>
            <w:r/>
            <w:r>
              <w:t>²</w:t>
            </w:r>
          </w:p>
        </w:tc>
        <w:tc>
          <w:tcPr>
            <w:tcW w:type="dxa" w:w="960"/>
          </w:tcPr>
          <w:p>
            <w:r/>
            <w:r>
              <w:t>—</w:t>
            </w:r>
          </w:p>
        </w:tc>
        <w:tc>
          <w:tcPr>
            <w:tcW w:type="dxa" w:w="960"/>
          </w:tcPr>
          <w:p>
            <w:r/>
            <w:r>
              <w:t>No</w:t>
            </w:r>
          </w:p>
        </w:tc>
        <w:tc>
          <w:tcPr>
            <w:tcW w:type="dxa" w:w="960"/>
          </w:tcPr>
          <w:p>
            <w:r/>
            <w:r>
              <w:t>Yes</w:t>
            </w:r>
          </w:p>
        </w:tc>
        <w:tc>
          <w:tcPr>
            <w:tcW w:type="dxa" w:w="960"/>
          </w:tcPr>
          <w:p>
            <w:r/>
            <w:r/>
          </w:p>
        </w:tc>
      </w:tr>
      <w:tr>
        <w:tc>
          <w:tcPr>
            <w:tcW w:type="dxa" w:w="960"/>
          </w:tcPr>
          <w:p>
            <w:r/>
            <w:r/>
            <w:r>
              <w:rPr>
                <w:rFonts w:ascii="Courier New" w:hAnsi="Courier New"/>
                <w:sz w:val="18"/>
              </w:rPr>
              <w:t>judge</w:t>
            </w:r>
            <w:r/>
          </w:p>
        </w:tc>
        <w:tc>
          <w:tcPr>
            <w:tcW w:type="dxa" w:w="960"/>
          </w:tcPr>
          <w:p>
            <w:r/>
            <w:r>
              <w:t>String</w:t>
            </w:r>
          </w:p>
        </w:tc>
        <w:tc>
          <w:tcPr>
            <w:tcW w:type="dxa" w:w="960"/>
          </w:tcPr>
          <w:p>
            <w:r/>
            <w:r>
              <w:t>Dropdown</w:t>
            </w:r>
          </w:p>
        </w:tc>
        <w:tc>
          <w:tcPr>
            <w:tcW w:type="dxa" w:w="960"/>
          </w:tcPr>
          <w:p>
            <w:r/>
            <w:r>
              <w:t>Query</w:t>
            </w:r>
          </w:p>
        </w:tc>
        <w:tc>
          <w:tcPr>
            <w:tcW w:type="dxa" w:w="960"/>
          </w:tcPr>
          <w:p>
            <w:r/>
            <w:r>
              <w:t>³</w:t>
            </w:r>
          </w:p>
        </w:tc>
        <w:tc>
          <w:tcPr>
            <w:tcW w:type="dxa" w:w="960"/>
          </w:tcPr>
          <w:p>
            <w:r/>
            <w:r>
              <w:t>—</w:t>
            </w:r>
          </w:p>
        </w:tc>
        <w:tc>
          <w:tcPr>
            <w:tcW w:type="dxa" w:w="960"/>
          </w:tcPr>
          <w:p>
            <w:r/>
            <w:r>
              <w:t>No</w:t>
            </w:r>
          </w:p>
        </w:tc>
        <w:tc>
          <w:tcPr>
            <w:tcW w:type="dxa" w:w="960"/>
          </w:tcPr>
          <w:p>
            <w:r/>
            <w:r>
              <w:t>Yes</w:t>
            </w:r>
          </w:p>
        </w:tc>
        <w:tc>
          <w:tcPr>
            <w:tcW w:type="dxa" w:w="960"/>
          </w:tcPr>
          <w:p>
            <w:r/>
            <w:r/>
          </w:p>
        </w:tc>
      </w:tr>
      <w:tr>
        <w:tc>
          <w:tcPr>
            <w:tcW w:type="dxa" w:w="960"/>
          </w:tcPr>
          <w:p>
            <w:r/>
            <w:r/>
            <w:r>
              <w:rPr>
                <w:rFonts w:ascii="Courier New" w:hAnsi="Courier New"/>
                <w:sz w:val="18"/>
              </w:rPr>
              <w:t>caseDetails</w:t>
            </w:r>
            <w:r/>
          </w:p>
        </w:tc>
        <w:tc>
          <w:tcPr>
            <w:tcW w:type="dxa" w:w="960"/>
          </w:tcPr>
          <w:p>
            <w:r/>
            <w:r>
              <w:t>String</w:t>
            </w:r>
          </w:p>
        </w:tc>
        <w:tc>
          <w:tcPr>
            <w:tcW w:type="dxa" w:w="960"/>
          </w:tcPr>
          <w:p>
            <w:r/>
            <w:r>
              <w:t>Dropdown</w:t>
            </w:r>
          </w:p>
        </w:tc>
        <w:tc>
          <w:tcPr>
            <w:tcW w:type="dxa" w:w="960"/>
          </w:tcPr>
          <w:p>
            <w:r/>
            <w:r>
              <w:t>User Input List</w:t>
            </w:r>
          </w:p>
        </w:tc>
        <w:tc>
          <w:tcPr>
            <w:tcW w:type="dxa" w:w="960"/>
          </w:tcPr>
          <w:p>
            <w:r/>
            <w:r>
              <w:t>⁴</w:t>
            </w:r>
          </w:p>
        </w:tc>
        <w:tc>
          <w:tcPr>
            <w:tcW w:type="dxa" w:w="960"/>
          </w:tcPr>
          <w:p>
            <w:r/>
            <w:r>
              <w:t>—</w:t>
            </w:r>
          </w:p>
        </w:tc>
        <w:tc>
          <w:tcPr>
            <w:tcW w:type="dxa" w:w="960"/>
          </w:tcPr>
          <w:p>
            <w:r/>
            <w:r>
              <w:t>No</w:t>
            </w:r>
          </w:p>
        </w:tc>
        <w:tc>
          <w:tcPr>
            <w:tcW w:type="dxa" w:w="960"/>
          </w:tcPr>
          <w:p>
            <w:r/>
            <w:r>
              <w:t>No</w:t>
            </w:r>
          </w:p>
        </w:tc>
        <w:tc>
          <w:tcPr>
            <w:tcW w:type="dxa" w:w="960"/>
          </w:tcPr>
          <w:p>
            <w:r/>
            <w:r/>
          </w:p>
        </w:tc>
      </w:tr>
      <w:tr>
        <w:tc>
          <w:tcPr>
            <w:tcW w:type="dxa" w:w="960"/>
          </w:tcPr>
          <w:p>
            <w:r/>
            <w:r/>
            <w:r>
              <w:rPr>
                <w:rFonts w:ascii="Courier New" w:hAnsi="Courier New"/>
                <w:sz w:val="18"/>
              </w:rPr>
              <w:t>lastInventoryDate</w:t>
            </w:r>
            <w:r/>
          </w:p>
        </w:tc>
        <w:tc>
          <w:tcPr>
            <w:tcW w:type="dxa" w:w="960"/>
          </w:tcPr>
          <w:p>
            <w:r/>
            <w:r>
              <w:t>Date</w:t>
            </w:r>
          </w:p>
        </w:tc>
        <w:tc>
          <w:tcPr>
            <w:tcW w:type="dxa" w:w="960"/>
          </w:tcPr>
          <w:p>
            <w:r/>
            <w:r>
              <w:t>Date Picker</w:t>
            </w:r>
          </w:p>
        </w:tc>
        <w:tc>
          <w:tcPr>
            <w:tcW w:type="dxa" w:w="960"/>
          </w:tcPr>
          <w:p>
            <w:r/>
            <w:r>
              <w:t>—</w:t>
            </w:r>
          </w:p>
        </w:tc>
        <w:tc>
          <w:tcPr>
            <w:tcW w:type="dxa" w:w="960"/>
          </w:tcPr>
          <w:p>
            <w:r/>
            <w:r>
              <w:t>—</w:t>
            </w:r>
          </w:p>
        </w:tc>
        <w:tc>
          <w:tcPr>
            <w:tcW w:type="dxa" w:w="960"/>
          </w:tcPr>
          <w:p>
            <w:r/>
            <w:r>
              <w:t>—</w:t>
            </w:r>
          </w:p>
        </w:tc>
        <w:tc>
          <w:tcPr>
            <w:tcW w:type="dxa" w:w="960"/>
          </w:tcPr>
          <w:p>
            <w:r/>
            <w:r>
              <w:t>No</w:t>
            </w:r>
          </w:p>
        </w:tc>
        <w:tc>
          <w:tcPr>
            <w:tcW w:type="dxa" w:w="960"/>
          </w:tcPr>
          <w:p>
            <w:r/>
            <w:r>
              <w:t>No</w:t>
            </w:r>
          </w:p>
        </w:tc>
        <w:tc>
          <w:tcPr>
            <w:tcW w:type="dxa" w:w="960"/>
          </w:tcPr>
          <w:p>
            <w:r/>
            <w:r>
              <w:t>Passes value directly into report header</w:t>
            </w:r>
          </w:p>
        </w:tc>
      </w:tr>
      <w:tr>
        <w:tc>
          <w:tcPr>
            <w:tcW w:type="dxa" w:w="960"/>
          </w:tcPr>
          <w:p>
            <w:r/>
            <w:r/>
            <w:r>
              <w:rPr>
                <w:rFonts w:ascii="Courier New" w:hAnsi="Courier New"/>
                <w:sz w:val="18"/>
              </w:rPr>
              <w:t>cutoff</w:t>
            </w:r>
            <w:r/>
          </w:p>
        </w:tc>
        <w:tc>
          <w:tcPr>
            <w:tcW w:type="dxa" w:w="960"/>
          </w:tcPr>
          <w:p>
            <w:r/>
            <w:r>
              <w:t>Date</w:t>
            </w:r>
          </w:p>
        </w:tc>
        <w:tc>
          <w:tcPr>
            <w:tcW w:type="dxa" w:w="960"/>
          </w:tcPr>
          <w:p>
            <w:r/>
            <w:r>
              <w:t>Date Picker</w:t>
            </w:r>
          </w:p>
        </w:tc>
        <w:tc>
          <w:tcPr>
            <w:tcW w:type="dxa" w:w="960"/>
          </w:tcPr>
          <w:p>
            <w:r/>
            <w:r>
              <w:t>—</w:t>
            </w:r>
          </w:p>
        </w:tc>
        <w:tc>
          <w:tcPr>
            <w:tcW w:type="dxa" w:w="960"/>
          </w:tcPr>
          <w:p>
            <w:r/>
            <w:r>
              <w:t>—</w:t>
            </w:r>
          </w:p>
        </w:tc>
        <w:tc>
          <w:tcPr>
            <w:tcW w:type="dxa" w:w="960"/>
          </w:tcPr>
          <w:p>
            <w:r/>
            <w:r/>
            <w:r>
              <w:rPr>
                <w:rFonts w:ascii="Courier New" w:hAnsi="Courier New"/>
                <w:sz w:val="18"/>
              </w:rPr>
              <w:t>01/01/2010</w:t>
            </w:r>
            <w:r/>
          </w:p>
        </w:tc>
        <w:tc>
          <w:tcPr>
            <w:tcW w:type="dxa" w:w="960"/>
          </w:tcPr>
          <w:p>
            <w:r/>
            <w:r>
              <w:t>Yes</w:t>
            </w:r>
          </w:p>
        </w:tc>
        <w:tc>
          <w:tcPr>
            <w:tcW w:type="dxa" w:w="960"/>
          </w:tcPr>
          <w:p>
            <w:r/>
            <w:r>
              <w:t>No</w:t>
            </w:r>
          </w:p>
        </w:tc>
        <w:tc>
          <w:tcPr>
            <w:tcW w:type="dxa" w:w="960"/>
          </w:tcPr>
          <w:p>
            <w:r/>
            <w:r/>
          </w:p>
        </w:tc>
      </w:tr>
      <w:tr>
        <w:tc>
          <w:tcPr>
            <w:tcW w:type="dxa" w:w="960"/>
          </w:tcPr>
          <w:p>
            <w:r/>
            <w:r/>
            <w:r>
              <w:rPr>
                <w:rFonts w:ascii="Courier New" w:hAnsi="Courier New"/>
                <w:sz w:val="18"/>
              </w:rPr>
              <w:t>columns</w:t>
            </w:r>
            <w:r/>
          </w:p>
        </w:tc>
        <w:tc>
          <w:tcPr>
            <w:tcW w:type="dxa" w:w="960"/>
          </w:tcPr>
          <w:p>
            <w:r/>
            <w:r>
              <w:t>String</w:t>
            </w:r>
          </w:p>
        </w:tc>
        <w:tc>
          <w:tcPr>
            <w:tcW w:type="dxa" w:w="960"/>
          </w:tcPr>
          <w:p>
            <w:r/>
            <w:r>
              <w:t>Multiselect</w:t>
            </w:r>
          </w:p>
        </w:tc>
        <w:tc>
          <w:tcPr>
            <w:tcW w:type="dxa" w:w="960"/>
          </w:tcPr>
          <w:p>
            <w:r/>
            <w:r>
              <w:t>User Input List</w:t>
            </w:r>
          </w:p>
        </w:tc>
        <w:tc>
          <w:tcPr>
            <w:tcW w:type="dxa" w:w="960"/>
          </w:tcPr>
          <w:p>
            <w:r/>
            <w:r/>
            <w:r>
              <w:rPr>
                <w:rFonts w:ascii="Courier New" w:hAnsi="Courier New"/>
                <w:sz w:val="18"/>
              </w:rPr>
              <w:t>A,B,C,D,E,F,G,H,I,J,K</w:t>
            </w:r>
            <w:r/>
          </w:p>
        </w:tc>
        <w:tc>
          <w:tcPr>
            <w:tcW w:type="dxa" w:w="960"/>
          </w:tcPr>
          <w:p>
            <w:r/>
            <w:r>
              <w:t>—</w:t>
            </w:r>
          </w:p>
        </w:tc>
        <w:tc>
          <w:tcPr>
            <w:tcW w:type="dxa" w:w="960"/>
          </w:tcPr>
          <w:p>
            <w:r/>
            <w:r>
              <w:t>Yes</w:t>
            </w:r>
          </w:p>
        </w:tc>
        <w:tc>
          <w:tcPr>
            <w:tcW w:type="dxa" w:w="960"/>
          </w:tcPr>
          <w:p>
            <w:r/>
            <w:r>
              <w:t>No</w:t>
            </w:r>
          </w:p>
        </w:tc>
        <w:tc>
          <w:tcPr>
            <w:tcW w:type="dxa" w:w="960"/>
          </w:tcPr>
          <w:p>
            <w:r/>
            <w:r>
              <w:t>See note below</w:t>
            </w:r>
          </w:p>
        </w:tc>
      </w:tr>
      <w:tr>
        <w:tc>
          <w:tcPr>
            <w:tcW w:type="dxa" w:w="960"/>
          </w:tcPr>
          <w:p>
            <w:r/>
            <w:r/>
            <w:r>
              <w:rPr>
                <w:rFonts w:ascii="Courier New" w:hAnsi="Courier New"/>
                <w:sz w:val="18"/>
              </w:rPr>
              <w:t>rows</w:t>
            </w:r>
            <w:r/>
          </w:p>
        </w:tc>
        <w:tc>
          <w:tcPr>
            <w:tcW w:type="dxa" w:w="960"/>
          </w:tcPr>
          <w:p>
            <w:r/>
            <w:r>
              <w:t>String</w:t>
            </w:r>
          </w:p>
        </w:tc>
        <w:tc>
          <w:tcPr>
            <w:tcW w:type="dxa" w:w="960"/>
          </w:tcPr>
          <w:p>
            <w:r/>
            <w:r>
              <w:t>Multiselect</w:t>
            </w:r>
          </w:p>
        </w:tc>
        <w:tc>
          <w:tcPr>
            <w:tcW w:type="dxa" w:w="960"/>
          </w:tcPr>
          <w:p>
            <w:r/>
            <w:r>
              <w:t>User Input List</w:t>
            </w:r>
          </w:p>
        </w:tc>
        <w:tc>
          <w:tcPr>
            <w:tcW w:type="dxa" w:w="960"/>
          </w:tcPr>
          <w:p>
            <w:r/>
            <w:r/>
            <w:r>
              <w:rPr>
                <w:rFonts w:ascii="Courier New" w:hAnsi="Courier New"/>
                <w:sz w:val="18"/>
              </w:rPr>
              <w:t>1,2,3,...,23</w:t>
            </w:r>
            <w:r/>
          </w:p>
        </w:tc>
        <w:tc>
          <w:tcPr>
            <w:tcW w:type="dxa" w:w="960"/>
          </w:tcPr>
          <w:p>
            <w:r/>
            <w:r>
              <w:t>—</w:t>
            </w:r>
          </w:p>
        </w:tc>
        <w:tc>
          <w:tcPr>
            <w:tcW w:type="dxa" w:w="960"/>
          </w:tcPr>
          <w:p>
            <w:r/>
            <w:r>
              <w:t>Yes</w:t>
            </w:r>
          </w:p>
        </w:tc>
        <w:tc>
          <w:tcPr>
            <w:tcW w:type="dxa" w:w="960"/>
          </w:tcPr>
          <w:p>
            <w:r/>
            <w:r>
              <w:t>No</w:t>
            </w:r>
          </w:p>
        </w:tc>
        <w:tc>
          <w:tcPr>
            <w:tcW w:type="dxa" w:w="960"/>
          </w:tcPr>
          <w:p>
            <w:r/>
            <w:r>
              <w:t>See note below</w:t>
            </w:r>
          </w:p>
        </w:tc>
      </w:tr>
      <w:tr>
        <w:tc>
          <w:tcPr>
            <w:tcW w:type="dxa" w:w="960"/>
          </w:tcPr>
          <w:p>
            <w:r/>
            <w:r/>
            <w:r>
              <w:rPr>
                <w:rFonts w:ascii="Courier New" w:hAnsi="Courier New"/>
                <w:sz w:val="18"/>
              </w:rPr>
              <w:t>jurisdiction</w:t>
            </w:r>
            <w:r/>
          </w:p>
        </w:tc>
        <w:tc>
          <w:tcPr>
            <w:tcW w:type="dxa" w:w="960"/>
          </w:tcPr>
          <w:p>
            <w:r/>
            <w:r>
              <w:t>String</w:t>
            </w:r>
          </w:p>
        </w:tc>
        <w:tc>
          <w:tcPr>
            <w:tcW w:type="dxa" w:w="960"/>
          </w:tcPr>
          <w:p>
            <w:r/>
            <w:r>
              <w:t>Text Box</w:t>
            </w:r>
          </w:p>
        </w:tc>
        <w:tc>
          <w:tcPr>
            <w:tcW w:type="dxa" w:w="960"/>
          </w:tcPr>
          <w:p>
            <w:r/>
            <w:r>
              <w:t>—</w:t>
            </w:r>
          </w:p>
        </w:tc>
        <w:tc>
          <w:tcPr>
            <w:tcW w:type="dxa" w:w="960"/>
          </w:tcPr>
          <w:p>
            <w:r/>
            <w:r>
              <w:t>—</w:t>
            </w:r>
          </w:p>
        </w:tc>
        <w:tc>
          <w:tcPr>
            <w:tcW w:type="dxa" w:w="960"/>
          </w:tcPr>
          <w:p>
            <w:r/>
            <w:r/>
            <w:r>
              <w:rPr>
                <w:rFonts w:ascii="Courier New" w:hAnsi="Courier New"/>
                <w:sz w:val="18"/>
              </w:rPr>
              <w:t>Montgomery</w:t>
            </w:r>
            <w:r/>
          </w:p>
        </w:tc>
        <w:tc>
          <w:tcPr>
            <w:tcW w:type="dxa" w:w="960"/>
          </w:tcPr>
          <w:p>
            <w:r/>
            <w:r>
              <w:t>Yes</w:t>
            </w:r>
          </w:p>
        </w:tc>
        <w:tc>
          <w:tcPr>
            <w:tcW w:type="dxa" w:w="960"/>
          </w:tcPr>
          <w:p>
            <w:r/>
            <w:r>
              <w:t>No</w:t>
            </w:r>
          </w:p>
        </w:tc>
        <w:tc>
          <w:tcPr>
            <w:tcW w:type="dxa" w:w="960"/>
          </w:tcPr>
          <w:p>
            <w:r/>
            <w:r/>
          </w:p>
        </w:tc>
      </w:tr>
      <w:tr>
        <w:tc>
          <w:tcPr>
            <w:tcW w:type="dxa" w:w="960"/>
          </w:tcPr>
          <w:p>
            <w:r/>
            <w:r/>
            <w:r>
              <w:rPr>
                <w:rFonts w:ascii="Courier New" w:hAnsi="Courier New"/>
                <w:sz w:val="18"/>
              </w:rPr>
              <w:t>reportLetter</w:t>
            </w:r>
            <w:r/>
          </w:p>
        </w:tc>
        <w:tc>
          <w:tcPr>
            <w:tcW w:type="dxa" w:w="960"/>
          </w:tcPr>
          <w:p>
            <w:r/>
            <w:r>
              <w:t>String</w:t>
            </w:r>
          </w:p>
        </w:tc>
        <w:tc>
          <w:tcPr>
            <w:tcW w:type="dxa" w:w="960"/>
          </w:tcPr>
          <w:p>
            <w:r/>
            <w:r>
              <w:t>—</w:t>
            </w:r>
          </w:p>
        </w:tc>
        <w:tc>
          <w:tcPr>
            <w:tcW w:type="dxa" w:w="960"/>
          </w:tcPr>
          <w:p>
            <w:r/>
            <w:r>
              <w:t>—</w:t>
            </w:r>
          </w:p>
        </w:tc>
        <w:tc>
          <w:tcPr>
            <w:tcW w:type="dxa" w:w="960"/>
          </w:tcPr>
          <w:p>
            <w:r/>
            <w:r>
              <w:t>—</w:t>
            </w:r>
          </w:p>
        </w:tc>
        <w:tc>
          <w:tcPr>
            <w:tcW w:type="dxa" w:w="960"/>
          </w:tcPr>
          <w:p>
            <w:r/>
            <w:r>
              <w:t>—</w:t>
            </w:r>
          </w:p>
        </w:tc>
        <w:tc>
          <w:tcPr>
            <w:tcW w:type="dxa" w:w="960"/>
          </w:tcPr>
          <w:p>
            <w:r/>
            <w:r>
              <w:t>Yes</w:t>
            </w:r>
          </w:p>
        </w:tc>
        <w:tc>
          <w:tcPr>
            <w:tcW w:type="dxa" w:w="960"/>
          </w:tcPr>
          <w:p>
            <w:r/>
            <w:r>
              <w:t>No</w:t>
            </w:r>
          </w:p>
        </w:tc>
        <w:tc>
          <w:tcPr>
            <w:tcW w:type="dxa" w:w="960"/>
          </w:tcPr>
          <w:p>
            <w:r/>
            <w:r/>
          </w:p>
        </w:tc>
      </w:tr>
      <w:tr>
        <w:tc>
          <w:tcPr>
            <w:tcW w:type="dxa" w:w="960"/>
          </w:tcPr>
          <w:p>
            <w:r/>
            <w:r/>
            <w:r>
              <w:rPr>
                <w:rFonts w:ascii="Courier New" w:hAnsi="Courier New"/>
                <w:sz w:val="18"/>
              </w:rPr>
              <w:t>reportTitle</w:t>
            </w:r>
            <w:r/>
          </w:p>
        </w:tc>
        <w:tc>
          <w:tcPr>
            <w:tcW w:type="dxa" w:w="960"/>
          </w:tcPr>
          <w:p>
            <w:r/>
            <w:r>
              <w:t>String</w:t>
            </w:r>
          </w:p>
        </w:tc>
        <w:tc>
          <w:tcPr>
            <w:tcW w:type="dxa" w:w="960"/>
          </w:tcPr>
          <w:p>
            <w:r/>
            <w:r>
              <w:t>Text Box</w:t>
            </w:r>
          </w:p>
        </w:tc>
        <w:tc>
          <w:tcPr>
            <w:tcW w:type="dxa" w:w="960"/>
          </w:tcPr>
          <w:p>
            <w:r/>
            <w:r>
              <w:t>—</w:t>
            </w:r>
          </w:p>
        </w:tc>
        <w:tc>
          <w:tcPr>
            <w:tcW w:type="dxa" w:w="960"/>
          </w:tcPr>
          <w:p>
            <w:r/>
            <w:r>
              <w:t>—</w:t>
            </w:r>
          </w:p>
        </w:tc>
        <w:tc>
          <w:tcPr>
            <w:tcW w:type="dxa" w:w="960"/>
          </w:tcPr>
          <w:p>
            <w:r/>
            <w:r/>
            <w:r>
              <w:rPr>
                <w:rFonts w:ascii="Courier New" w:hAnsi="Courier New"/>
                <w:sz w:val="18"/>
              </w:rPr>
              <w:t>The Supreme Court of Ohio</w:t>
            </w:r>
            <w:r/>
          </w:p>
        </w:tc>
        <w:tc>
          <w:tcPr>
            <w:tcW w:type="dxa" w:w="960"/>
          </w:tcPr>
          <w:p>
            <w:r/>
            <w:r>
              <w:t>Yes</w:t>
            </w:r>
          </w:p>
        </w:tc>
        <w:tc>
          <w:tcPr>
            <w:tcW w:type="dxa" w:w="960"/>
          </w:tcPr>
          <w:p>
            <w:r/>
            <w:r>
              <w:t>No</w:t>
            </w:r>
          </w:p>
        </w:tc>
        <w:tc>
          <w:tcPr>
            <w:tcW w:type="dxa" w:w="960"/>
          </w:tcPr>
          <w:p>
            <w:r/>
            <w:r/>
          </w:p>
        </w:tc>
      </w:tr>
    </w:tbl>
    <w:p/>
    <w:p>
      <w:pPr>
        <w:pStyle w:val="NoSpacing"/>
        <w:ind w:left="432"/>
      </w:pPr>
      <w:r/>
      <w:r>
        <w:rPr>
          <w:b/>
        </w:rPr>
        <w:t>`columns` and `rows`:</w:t>
      </w:r>
      <w:r>
        <w:t xml:space="preserve"> These lists cover the maximum range across all forms — not every form uses all columns or rows. Both must remain </w:t>
      </w:r>
      <w:r>
        <w:rPr>
          <w:b/>
        </w:rPr>
        <w:t>Hidden in production</w:t>
      </w:r>
      <w:r>
        <w:t>; unhide temporarily for testing or debugging to restrict output to a specific subset of cells.</w:t>
      </w:r>
    </w:p>
    <w:p/>
    <w:p>
      <w:r/>
      <w:r>
        <w:rPr>
          <w:b/>
        </w:rPr>
        <w:t>¹ `report` list source:</w:t>
      </w:r>
      <w:r/>
    </w:p>
    <w:p>
      <w:pPr>
        <w:pStyle w:val="ListBullet"/>
      </w:pPr>
      <w:r/>
      <w:r>
        <w:rPr>
          <w:rFonts w:ascii="Courier New" w:hAnsi="Courier New"/>
          <w:sz w:val="18"/>
        </w:rPr>
        <w:t>Form A - Common Pleas General Division</w:t>
      </w:r>
      <w:r/>
    </w:p>
    <w:p>
      <w:pPr>
        <w:pStyle w:val="ListBullet"/>
      </w:pPr>
      <w:r/>
      <w:r>
        <w:rPr>
          <w:rFonts w:ascii="Courier New" w:hAnsi="Courier New"/>
          <w:sz w:val="18"/>
        </w:rPr>
        <w:t>Form B - Domestic Relations Division</w:t>
      </w:r>
      <w:r/>
    </w:p>
    <w:p>
      <w:pPr>
        <w:pStyle w:val="ListBullet"/>
      </w:pPr>
      <w:r/>
      <w:r>
        <w:rPr>
          <w:rFonts w:ascii="Courier New" w:hAnsi="Courier New"/>
          <w:sz w:val="18"/>
        </w:rPr>
        <w:t>Form AJ - Administrative Judge Report</w:t>
      </w:r>
      <w:r/>
    </w:p>
    <w:p>
      <w:pPr>
        <w:pStyle w:val="ListBullet"/>
      </w:pPr>
      <w:r/>
      <w:r>
        <w:rPr>
          <w:rFonts w:ascii="Courier New" w:hAnsi="Courier New"/>
          <w:sz w:val="18"/>
        </w:rPr>
        <w:t>Form IJ - Individual Judge Report</w:t>
      </w:r>
      <w:r/>
    </w:p>
    <w:p>
      <w:r/>
      <w:r>
        <w:rPr>
          <w:b/>
        </w:rPr>
        <w:t>⁴ `caseDetails` list source:</w:t>
      </w:r>
      <w:r/>
    </w:p>
    <w:p>
      <w:pPr>
        <w:pStyle w:val="ListBullet"/>
      </w:pPr>
      <w:r>
        <w:t>*(blank)*</w:t>
      </w:r>
    </w:p>
    <w:p>
      <w:pPr>
        <w:pStyle w:val="ListBullet"/>
      </w:pPr>
      <w:r/>
      <w:r>
        <w:rPr>
          <w:rFonts w:ascii="Courier New" w:hAnsi="Courier New"/>
          <w:sz w:val="18"/>
        </w:rPr>
        <w:t>Show Case Details</w:t>
      </w:r>
      <w:r/>
    </w:p>
    <w:p>
      <w:pPr>
        <w:pStyle w:val="ListBullet"/>
      </w:pPr>
      <w:r/>
      <w:r>
        <w:rPr>
          <w:rFonts w:ascii="Courier New" w:hAnsi="Courier New"/>
          <w:sz w:val="18"/>
        </w:rPr>
        <w:t>Show Case Details + Removed Cases</w:t>
      </w:r>
      <w:r/>
    </w:p>
    <w:p>
      <w:r/>
      <w:r>
        <w:rPr>
          <w:b/>
        </w:rPr>
        <w:t>² `reportYear` query:</w:t>
      </w:r>
      <w:r/>
    </w:p>
    <w:p>
      <w:pPr>
        <w:pStyle w:val="NoSpacing"/>
      </w:pPr>
      <w:r>
        <w:rPr>
          <w:rFonts w:ascii="Courier New" w:hAnsi="Courier New"/>
          <w:sz w:val="17"/>
        </w:rPr>
        <w:t xml:space="preserve">with yearlist as </w:t>
        <w:br/>
      </w:r>
      <w:r>
        <w:rPr>
          <w:rFonts w:ascii="Courier New" w:hAnsi="Courier New"/>
          <w:sz w:val="17"/>
        </w:rPr>
        <w:t xml:space="preserve">(select DATEPART(year, GETDATE())-99 as yr </w:t>
        <w:br/>
      </w:r>
      <w:r>
        <w:rPr>
          <w:rFonts w:ascii="Courier New" w:hAnsi="Courier New"/>
          <w:sz w:val="17"/>
        </w:rPr>
        <w:t xml:space="preserve">union all </w:t>
        <w:br/>
      </w:r>
      <w:r>
        <w:rPr>
          <w:rFonts w:ascii="Courier New" w:hAnsi="Courier New"/>
          <w:sz w:val="17"/>
        </w:rPr>
        <w:t xml:space="preserve">select yl.yr + 1 as yr </w:t>
        <w:br/>
      </w:r>
      <w:r>
        <w:rPr>
          <w:rFonts w:ascii="Courier New" w:hAnsi="Courier New"/>
          <w:sz w:val="17"/>
        </w:rPr>
        <w:t xml:space="preserve">from yearlist yl </w:t>
        <w:br/>
      </w:r>
      <w:r>
        <w:rPr>
          <w:rFonts w:ascii="Courier New" w:hAnsi="Courier New"/>
          <w:sz w:val="17"/>
        </w:rPr>
        <w:t>where yl.yr + 1 &lt;= DATEPART(year, GETDATE()))</w:t>
        <w:br/>
      </w:r>
      <w:r>
        <w:rPr>
          <w:rFonts w:ascii="Courier New" w:hAnsi="Courier New"/>
          <w:sz w:val="17"/>
        </w:rPr>
        <w:t>select yr from yearlist order by yr desc;</w:t>
        <w:br/>
      </w:r>
    </w:p>
    <w:p/>
    <w:p>
      <w:r/>
      <w:r>
        <w:rPr>
          <w:b/>
        </w:rPr>
        <w:t>³ `judge` query:</w:t>
      </w:r>
      <w:r/>
    </w:p>
    <w:p>
      <w:pPr>
        <w:pStyle w:val="NoSpacing"/>
      </w:pPr>
      <w:r>
        <w:rPr>
          <w:rFonts w:ascii="Courier New" w:hAnsi="Courier New"/>
          <w:sz w:val="17"/>
        </w:rPr>
        <w:t>SELECT distinct dp.firstName + ' ' + dp.lastName + ' ' + de.code</w:t>
        <w:br/>
      </w:r>
      <w:r>
        <w:rPr>
          <w:rFonts w:ascii="Courier New" w:hAnsi="Courier New"/>
          <w:sz w:val="17"/>
        </w:rPr>
        <w:t xml:space="preserve">FROM tDirPerson dp </w:t>
        <w:br/>
      </w:r>
      <w:r>
        <w:rPr>
          <w:rFonts w:ascii="Courier New" w:hAnsi="Courier New"/>
          <w:sz w:val="17"/>
        </w:rPr>
        <w:t xml:space="preserve">JOIN tDirEntry de ON de.id = dp.id </w:t>
        <w:br/>
      </w:r>
      <w:r>
        <w:rPr>
          <w:rFonts w:ascii="Courier New" w:hAnsi="Courier New"/>
          <w:sz w:val="17"/>
        </w:rPr>
        <w:t>JOIN tDirEntry_parents org ON dp.id = org.children_id</w:t>
        <w:br/>
      </w:r>
      <w:r>
        <w:rPr>
          <w:rFonts w:ascii="Courier New" w:hAnsi="Courier New"/>
          <w:sz w:val="17"/>
        </w:rPr>
        <w:t>JOIN tDirEntry div ON org.parents_id = div.id</w:t>
        <w:br/>
      </w:r>
      <w:r>
        <w:rPr>
          <w:rFonts w:ascii="Courier New" w:hAnsi="Courier New"/>
          <w:sz w:val="17"/>
        </w:rPr>
        <w:t>WHERE dp.role in ('ADMINJ', 'JUD') AND de.status = 1</w:t>
        <w:br/>
      </w:r>
    </w:p>
    <w:p/>
    <w:p>
      <w:pPr>
        <w:pStyle w:val="Heading2"/>
      </w:pPr>
      <w:r>
        <w:t>Configure System Properties</w:t>
      </w:r>
    </w:p>
    <w:p>
      <w:r>
        <w:t>One System Property is required per report form letter to supply the notification email address printed in the report header.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Category</w:t>
            </w:r>
          </w:p>
        </w:tc>
        <w:tc>
          <w:tcPr>
            <w:tcW w:type="dxa" w:w="2160"/>
          </w:tcPr>
          <w:p>
            <w:r>
              <w:rPr>
                <w:b/>
              </w:rPr>
            </w:r>
            <w:r>
              <w:rPr>
                <w:b/>
              </w:rPr>
              <w:t>Key</w:t>
            </w:r>
          </w:p>
        </w:tc>
        <w:tc>
          <w:tcPr>
            <w:tcW w:type="dxa" w:w="2160"/>
          </w:tcPr>
          <w:p>
            <w:r>
              <w:rPr>
                <w:b/>
              </w:rPr>
            </w:r>
            <w:r>
              <w:rPr>
                <w:b/>
              </w:rPr>
              <w:t>Value</w:t>
            </w:r>
          </w:p>
        </w:tc>
        <w:tc>
          <w:tcPr>
            <w:tcW w:type="dxa" w:w="2160"/>
          </w:tcPr>
          <w:p>
            <w:r>
              <w:rPr>
                <w:b/>
              </w:rPr>
            </w:r>
            <w:r>
              <w:rPr>
                <w:b/>
              </w:rPr>
              <w:t>Description</w:t>
            </w:r>
          </w:p>
        </w:tc>
      </w:tr>
      <w:tr>
        <w:tc>
          <w:tcPr>
            <w:tcW w:type="dxa" w:w="2160"/>
          </w:tcPr>
          <w:p>
            <w:r/>
            <w:r>
              <w:t>reports</w:t>
            </w:r>
          </w:p>
        </w:tc>
        <w:tc>
          <w:tcPr>
            <w:tcW w:type="dxa" w:w="2160"/>
          </w:tcPr>
          <w:p>
            <w:r/>
            <w:r/>
            <w:r>
              <w:rPr>
                <w:rFonts w:ascii="Courier New" w:hAnsi="Courier New"/>
                <w:sz w:val="18"/>
              </w:rPr>
              <w:t>reports.form.a.notification.email</w:t>
            </w:r>
            <w:r/>
          </w:p>
        </w:tc>
        <w:tc>
          <w:tcPr>
            <w:tcW w:type="dxa" w:w="2160"/>
          </w:tcPr>
          <w:p>
            <w:r/>
            <w:r>
              <w:t>*(email)*</w:t>
            </w:r>
          </w:p>
        </w:tc>
        <w:tc>
          <w:tcPr>
            <w:tcW w:type="dxa" w:w="2160"/>
          </w:tcPr>
          <w:p>
            <w:r/>
            <w:r>
              <w:t>Notification email for Form A</w:t>
            </w:r>
          </w:p>
        </w:tc>
      </w:tr>
      <w:tr>
        <w:tc>
          <w:tcPr>
            <w:tcW w:type="dxa" w:w="2160"/>
          </w:tcPr>
          <w:p>
            <w:r/>
            <w:r>
              <w:t>reports</w:t>
            </w:r>
          </w:p>
        </w:tc>
        <w:tc>
          <w:tcPr>
            <w:tcW w:type="dxa" w:w="2160"/>
          </w:tcPr>
          <w:p>
            <w:r/>
            <w:r/>
            <w:r>
              <w:rPr>
                <w:rFonts w:ascii="Courier New" w:hAnsi="Courier New"/>
                <w:sz w:val="18"/>
              </w:rPr>
              <w:t>reports.form.b.notification.email</w:t>
            </w:r>
            <w:r/>
          </w:p>
        </w:tc>
        <w:tc>
          <w:tcPr>
            <w:tcW w:type="dxa" w:w="2160"/>
          </w:tcPr>
          <w:p>
            <w:r/>
            <w:r>
              <w:t>*(email)*</w:t>
            </w:r>
          </w:p>
        </w:tc>
        <w:tc>
          <w:tcPr>
            <w:tcW w:type="dxa" w:w="2160"/>
          </w:tcPr>
          <w:p>
            <w:r/>
            <w:r>
              <w:t>Notification email for Form B</w:t>
            </w:r>
          </w:p>
        </w:tc>
      </w:tr>
      <w:tr>
        <w:tc>
          <w:tcPr>
            <w:tcW w:type="dxa" w:w="2160"/>
          </w:tcPr>
          <w:p>
            <w:r/>
            <w:r>
              <w:t>reports</w:t>
            </w:r>
          </w:p>
        </w:tc>
        <w:tc>
          <w:tcPr>
            <w:tcW w:type="dxa" w:w="2160"/>
          </w:tcPr>
          <w:p>
            <w:r/>
            <w:r/>
            <w:r>
              <w:rPr>
                <w:rFonts w:ascii="Courier New" w:hAnsi="Courier New"/>
                <w:sz w:val="18"/>
              </w:rPr>
              <w:t>reports.form.aj.notification.email</w:t>
            </w:r>
            <w:r/>
          </w:p>
        </w:tc>
        <w:tc>
          <w:tcPr>
            <w:tcW w:type="dxa" w:w="2160"/>
          </w:tcPr>
          <w:p>
            <w:r/>
            <w:r>
              <w:t>*(email)*</w:t>
            </w:r>
          </w:p>
        </w:tc>
        <w:tc>
          <w:tcPr>
            <w:tcW w:type="dxa" w:w="2160"/>
          </w:tcPr>
          <w:p>
            <w:r/>
            <w:r>
              <w:t>Notification email for Form AJ</w:t>
            </w:r>
          </w:p>
        </w:tc>
      </w:tr>
      <w:tr>
        <w:tc>
          <w:tcPr>
            <w:tcW w:type="dxa" w:w="2160"/>
          </w:tcPr>
          <w:p>
            <w:r/>
            <w:r>
              <w:t>reports</w:t>
            </w:r>
          </w:p>
        </w:tc>
        <w:tc>
          <w:tcPr>
            <w:tcW w:type="dxa" w:w="2160"/>
          </w:tcPr>
          <w:p>
            <w:r/>
            <w:r/>
            <w:r>
              <w:rPr>
                <w:rFonts w:ascii="Courier New" w:hAnsi="Courier New"/>
                <w:sz w:val="18"/>
              </w:rPr>
              <w:t>reports.form.ij.notification.email</w:t>
            </w:r>
            <w:r/>
          </w:p>
        </w:tc>
        <w:tc>
          <w:tcPr>
            <w:tcW w:type="dxa" w:w="2160"/>
          </w:tcPr>
          <w:p>
            <w:r/>
            <w:r>
              <w:t>*(email)*</w:t>
            </w:r>
          </w:p>
        </w:tc>
        <w:tc>
          <w:tcPr>
            <w:tcW w:type="dxa" w:w="2160"/>
          </w:tcPr>
          <w:p>
            <w:r/>
            <w:r>
              <w:t>Notification email for Form IJ</w:t>
            </w:r>
          </w:p>
        </w:tc>
      </w:tr>
    </w:tbl>
    <w:p/>
    <w:p>
      <w:pPr>
        <w:pStyle w:val="NoSpacing"/>
        <w:ind w:left="432"/>
      </w:pPr>
      <w:r>
        <w:t xml:space="preserve">The rule reads these at runtime as </w:t>
      </w:r>
      <w:r>
        <w:rPr>
          <w:rFonts w:ascii="Courier New" w:hAnsi="Courier New"/>
          <w:sz w:val="18"/>
        </w:rPr>
        <w:t>reports.form.{letter}.notification.email</w:t>
      </w:r>
      <w:r>
        <w:t xml:space="preserve"> (lowercased). If a property is missing, the email field on the report will display a warning message where the email should be.</w:t>
      </w:r>
    </w:p>
    <w:p/>
    <w:p>
      <w:pPr>
        <w:pStyle w:val="Heading2"/>
      </w:pPr>
      <w:r>
        <w:t>Lookup List Configuration</w:t>
      </w:r>
    </w:p>
    <w:p>
      <w:r>
        <w:t>The report structure is entirely driven by lookup list attributes. All four lists below must have SCR attributes configured before the report will run.</w:t>
      </w:r>
    </w:p>
    <w:p>
      <w:pPr>
        <w:pStyle w:val="Heading3"/>
      </w:pPr>
      <w:r>
        <w:t>`EVENT_RESULT`</w:t>
      </w:r>
    </w:p>
    <w:p>
      <w:r>
        <w:t>Used for Form A to identify the event results that are reportable for each event type. This is used to identify reportable arraignments on CPC Criminal cases. Each event result must have an attribute: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Attribute Type</w:t>
            </w:r>
          </w:p>
        </w:tc>
        <w:tc>
          <w:tcPr>
            <w:tcW w:type="dxa" w:w="2880"/>
          </w:tcPr>
          <w:p>
            <w:r>
              <w:rPr>
                <w:b/>
              </w:rPr>
            </w:r>
            <w:r>
              <w:rPr>
                <w:b/>
              </w:rPr>
              <w:t>Name</w:t>
            </w:r>
          </w:p>
        </w:tc>
        <w:tc>
          <w:tcPr>
            <w:tcW w:type="dxa" w:w="2880"/>
          </w:tcPr>
          <w:p>
            <w:r>
              <w:rPr>
                <w:b/>
              </w:rPr>
            </w:r>
            <w:r>
              <w:rPr>
                <w:b/>
              </w:rPr>
              <w:t>Value</w:t>
            </w:r>
          </w:p>
        </w:tc>
      </w:tr>
      <w:tr>
        <w:tc>
          <w:tcPr>
            <w:tcW w:type="dxa" w:w="2880"/>
          </w:tcPr>
          <w:p>
            <w:r/>
            <w:r/>
            <w:r>
              <w:rPr>
                <w:rFonts w:ascii="Courier New" w:hAnsi="Courier New"/>
                <w:sz w:val="18"/>
              </w:rPr>
              <w:t>SCR</w:t>
            </w:r>
            <w:r/>
          </w:p>
        </w:tc>
        <w:tc>
          <w:tcPr>
            <w:tcW w:type="dxa" w:w="2880"/>
          </w:tcPr>
          <w:p>
            <w:r/>
            <w:r/>
            <w:r>
              <w:rPr>
                <w:rFonts w:ascii="Courier New" w:hAnsi="Courier New"/>
                <w:sz w:val="18"/>
              </w:rPr>
              <w:t>A</w:t>
            </w:r>
            <w:r/>
          </w:p>
        </w:tc>
        <w:tc>
          <w:tcPr>
            <w:tcW w:type="dxa" w:w="2880"/>
          </w:tcPr>
          <w:p>
            <w:r/>
            <w:r>
              <w:t>The event type code to map this result to</w:t>
            </w:r>
          </w:p>
        </w:tc>
      </w:tr>
    </w:tbl>
    <w:p/>
    <w:p>
      <w:pPr>
        <w:pStyle w:val="Heading3"/>
      </w:pPr>
      <w:r>
        <w:t>`SUB_CASE_TYPE`</w:t>
      </w:r>
    </w:p>
    <w:p>
      <w:r>
        <w:t>Maps case/subcase types to report columns. Each reportable item must have an attribute: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Attribute Type</w:t>
            </w:r>
          </w:p>
        </w:tc>
        <w:tc>
          <w:tcPr>
            <w:tcW w:type="dxa" w:w="2880"/>
          </w:tcPr>
          <w:p>
            <w:r>
              <w:rPr>
                <w:b/>
              </w:rPr>
            </w:r>
            <w:r>
              <w:rPr>
                <w:b/>
              </w:rPr>
              <w:t>Name</w:t>
            </w:r>
          </w:p>
        </w:tc>
        <w:tc>
          <w:tcPr>
            <w:tcW w:type="dxa" w:w="2880"/>
          </w:tcPr>
          <w:p>
            <w:r>
              <w:rPr>
                <w:b/>
              </w:rPr>
            </w:r>
            <w:r>
              <w:rPr>
                <w:b/>
              </w:rPr>
              <w:t>Value</w:t>
            </w:r>
          </w:p>
        </w:tc>
      </w:tr>
      <w:tr>
        <w:tc>
          <w:tcPr>
            <w:tcW w:type="dxa" w:w="2880"/>
          </w:tcPr>
          <w:p>
            <w:r/>
            <w:r/>
            <w:r>
              <w:rPr>
                <w:rFonts w:ascii="Courier New" w:hAnsi="Courier New"/>
                <w:sz w:val="18"/>
              </w:rPr>
              <w:t>SCR</w:t>
            </w:r>
            <w:r/>
          </w:p>
        </w:tc>
        <w:tc>
          <w:tcPr>
            <w:tcW w:type="dxa" w:w="2880"/>
          </w:tcPr>
          <w:p>
            <w:r/>
            <w:r>
              <w:t>*(report letter)*</w:t>
            </w:r>
          </w:p>
        </w:tc>
        <w:tc>
          <w:tcPr>
            <w:tcW w:type="dxa" w:w="2880"/>
          </w:tcPr>
          <w:p>
            <w:r/>
            <w:r>
              <w:t xml:space="preserve">Column letter (e.g., </w:t>
            </w:r>
            <w:r>
              <w:rPr>
                <w:rFonts w:ascii="Courier New" w:hAnsi="Courier New"/>
                <w:sz w:val="18"/>
              </w:rPr>
              <w:t>A</w:t>
            </w:r>
            <w:r>
              <w:t xml:space="preserve">, </w:t>
            </w:r>
            <w:r>
              <w:rPr>
                <w:rFonts w:ascii="Courier New" w:hAnsi="Courier New"/>
                <w:sz w:val="18"/>
              </w:rPr>
              <w:t>B</w:t>
            </w:r>
            <w:r>
              <w:t xml:space="preserve">, </w:t>
            </w:r>
            <w:r>
              <w:rPr>
                <w:rFonts w:ascii="Courier New" w:hAnsi="Courier New"/>
                <w:sz w:val="18"/>
              </w:rPr>
              <w:t>C</w:t>
            </w:r>
            <w:r>
              <w:t xml:space="preserve">, </w:t>
            </w:r>
            <w:r>
              <w:rPr>
                <w:rFonts w:ascii="Courier New" w:hAnsi="Courier New"/>
                <w:sz w:val="18"/>
              </w:rPr>
              <w:t>V</w:t>
            </w:r>
            <w:r>
              <w:t>)</w:t>
            </w:r>
          </w:p>
        </w:tc>
      </w:tr>
    </w:tbl>
    <w:p/>
    <w:p>
      <w:r>
        <w:t xml:space="preserve">For Forms AJ and IJ, items with attribute name </w:t>
      </w:r>
      <w:r>
        <w:rPr>
          <w:rFonts w:ascii="Courier New" w:hAnsi="Courier New"/>
          <w:sz w:val="18"/>
        </w:rPr>
        <w:t>J</w:t>
      </w:r>
      <w:r>
        <w:t xml:space="preserve"> are picked up for both reports.</w:t>
      </w:r>
    </w:p>
    <w:p>
      <w:pPr>
        <w:pStyle w:val="Heading3"/>
      </w:pPr>
      <w:r>
        <w:t>`CASE_DISPOSITION`</w:t>
      </w:r>
    </w:p>
    <w:p>
      <w:r>
        <w:t>Maps disposition types to report rows. Each reportable disposition type must have an attribute: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Attribute Type</w:t>
            </w:r>
          </w:p>
        </w:tc>
        <w:tc>
          <w:tcPr>
            <w:tcW w:type="dxa" w:w="2880"/>
          </w:tcPr>
          <w:p>
            <w:r>
              <w:rPr>
                <w:b/>
              </w:rPr>
            </w:r>
            <w:r>
              <w:rPr>
                <w:b/>
              </w:rPr>
              <w:t>Name</w:t>
            </w:r>
          </w:p>
        </w:tc>
        <w:tc>
          <w:tcPr>
            <w:tcW w:type="dxa" w:w="2880"/>
          </w:tcPr>
          <w:p>
            <w:r>
              <w:rPr>
                <w:b/>
              </w:rPr>
            </w:r>
            <w:r>
              <w:rPr>
                <w:b/>
              </w:rPr>
              <w:t>Value</w:t>
            </w:r>
          </w:p>
        </w:tc>
      </w:tr>
      <w:tr>
        <w:tc>
          <w:tcPr>
            <w:tcW w:type="dxa" w:w="2880"/>
          </w:tcPr>
          <w:p>
            <w:r/>
            <w:r/>
            <w:r>
              <w:rPr>
                <w:rFonts w:ascii="Courier New" w:hAnsi="Courier New"/>
                <w:sz w:val="18"/>
              </w:rPr>
              <w:t>SCR</w:t>
            </w:r>
            <w:r/>
          </w:p>
        </w:tc>
        <w:tc>
          <w:tcPr>
            <w:tcW w:type="dxa" w:w="2880"/>
          </w:tcPr>
          <w:p>
            <w:r/>
            <w:r>
              <w:t>*(report letter)*</w:t>
            </w:r>
          </w:p>
        </w:tc>
        <w:tc>
          <w:tcPr>
            <w:tcW w:type="dxa" w:w="2880"/>
          </w:tcPr>
          <w:p>
            <w:r/>
            <w:r>
              <w:t xml:space="preserve">Row number (e.g., </w:t>
            </w:r>
            <w:r>
              <w:rPr>
                <w:rFonts w:ascii="Courier New" w:hAnsi="Courier New"/>
                <w:sz w:val="18"/>
              </w:rPr>
              <w:t>5</w:t>
            </w:r>
            <w:r>
              <w:t xml:space="preserve">, </w:t>
            </w:r>
            <w:r>
              <w:rPr>
                <w:rFonts w:ascii="Courier New" w:hAnsi="Courier New"/>
                <w:sz w:val="18"/>
              </w:rPr>
              <w:t>6</w:t>
            </w:r>
            <w:r>
              <w:t xml:space="preserve">, </w:t>
            </w:r>
            <w:r>
              <w:rPr>
                <w:rFonts w:ascii="Courier New" w:hAnsi="Courier New"/>
                <w:sz w:val="18"/>
              </w:rPr>
              <w:t>7</w:t>
            </w:r>
            <w:r>
              <w:t xml:space="preserve">) — or </w:t>
            </w:r>
            <w:r>
              <w:rPr>
                <w:rFonts w:ascii="Courier New" w:hAnsi="Courier New"/>
                <w:sz w:val="18"/>
              </w:rPr>
              <w:t>TIME</w:t>
            </w:r>
            <w:r>
              <w:t xml:space="preserve"> to flag the disposition as inactive for case age calculations</w:t>
            </w:r>
          </w:p>
        </w:tc>
      </w:tr>
    </w:tbl>
    <w:p/>
    <w:p>
      <w:r>
        <w:t xml:space="preserve">For Forms AJ and IJ, items with attribute name </w:t>
      </w:r>
      <w:r>
        <w:rPr>
          <w:rFonts w:ascii="Courier New" w:hAnsi="Courier New"/>
          <w:sz w:val="18"/>
        </w:rPr>
        <w:t>J</w:t>
      </w:r>
      <w:r>
        <w:t xml:space="preserve"> are picked up for both reports.</w:t>
      </w:r>
    </w:p>
    <w:p>
      <w:pPr>
        <w:pStyle w:val="Heading3"/>
      </w:pPr>
      <w:r>
        <w:t>`SCR_FORM_{letter}`</w:t>
      </w:r>
    </w:p>
    <w:p>
      <w:r>
        <w:t xml:space="preserve">One lookup list per form letter (e.g., </w:t>
      </w:r>
      <w:r>
        <w:rPr>
          <w:rFonts w:ascii="Courier New" w:hAnsi="Courier New"/>
          <w:sz w:val="18"/>
        </w:rPr>
        <w:t>SCR_FORM_A</w:t>
      </w:r>
      <w:r>
        <w:t xml:space="preserve">, </w:t>
      </w:r>
      <w:r>
        <w:rPr>
          <w:rFonts w:ascii="Courier New" w:hAnsi="Courier New"/>
          <w:sz w:val="18"/>
        </w:rPr>
        <w:t>SCR_FORM_B</w:t>
      </w:r>
      <w:r>
        <w:t xml:space="preserve">, </w:t>
      </w:r>
      <w:r>
        <w:rPr>
          <w:rFonts w:ascii="Courier New" w:hAnsi="Courier New"/>
          <w:sz w:val="18"/>
        </w:rPr>
        <w:t>SCR_FORM_AJ</w:t>
      </w:r>
      <w:r>
        <w:t xml:space="preserve">, </w:t>
      </w:r>
      <w:r>
        <w:rPr>
          <w:rFonts w:ascii="Courier New" w:hAnsi="Courier New"/>
          <w:sz w:val="18"/>
        </w:rPr>
        <w:t>SCR_FORM_IJ</w:t>
      </w:r>
      <w:r>
        <w:t>). Defines the rows and columns of that form.</w:t>
      </w:r>
    </w:p>
    <w:p>
      <w:pPr>
        <w:pStyle w:val="ListBullet"/>
      </w:pPr>
      <w:r/>
      <w:r>
        <w:rPr>
          <w:b/>
        </w:rPr>
        <w:t>Columns</w:t>
      </w:r>
      <w:r>
        <w:t xml:space="preserve"> — items whose code is a </w:t>
      </w:r>
      <w:r>
        <w:rPr>
          <w:b/>
        </w:rPr>
        <w:t>letter</w:t>
      </w:r>
      <w:r>
        <w:t xml:space="preserve"> (A, B, C…). The column's time guideline (in months) goes in the item's </w:t>
      </w:r>
      <w:r>
        <w:rPr>
          <w:b/>
        </w:rPr>
        <w:t>Description</w:t>
      </w:r>
      <w:r>
        <w:t xml:space="preserve"> field (e.g., </w:t>
      </w:r>
      <w:r>
        <w:rPr>
          <w:rFonts w:ascii="Courier New" w:hAnsi="Courier New"/>
          <w:sz w:val="18"/>
        </w:rPr>
        <w:t>"95% in 12"</w:t>
      </w:r>
      <w:r>
        <w:t>).</w:t>
      </w:r>
    </w:p>
    <w:p>
      <w:pPr>
        <w:pStyle w:val="ListBullet"/>
      </w:pPr>
      <w:r/>
      <w:r>
        <w:rPr>
          <w:b/>
        </w:rPr>
        <w:t>Rows</w:t>
      </w:r>
      <w:r>
        <w:t xml:space="preserve"> — items whose code is a </w:t>
      </w:r>
      <w:r>
        <w:rPr>
          <w:b/>
        </w:rPr>
        <w:t>number</w:t>
      </w:r>
      <w:r>
        <w:t xml:space="preserve"> (1, 2, 3…). Row descriptions drive special behavior:</w:t>
      </w:r>
    </w:p>
    <w:p>
      <w:r>
        <w:t xml:space="preserve">  - Contains </w:t>
      </w:r>
      <w:r>
        <w:rPr>
          <w:rFonts w:ascii="Courier New" w:hAnsi="Courier New"/>
          <w:sz w:val="18"/>
        </w:rPr>
        <w:t>"term total"</w:t>
      </w:r>
      <w:r>
        <w:t xml:space="preserve"> → termination total row</w:t>
      </w:r>
    </w:p>
    <w:p>
      <w:r>
        <w:t xml:space="preserve">  - Contains </w:t>
      </w:r>
      <w:r>
        <w:rPr>
          <w:rFonts w:ascii="Courier New" w:hAnsi="Courier New"/>
          <w:sz w:val="18"/>
        </w:rPr>
        <w:t>"pend end"</w:t>
      </w:r>
      <w:r>
        <w:t xml:space="preserve"> → pending end-of-period row (calculated as pending − terminations)</w:t>
      </w:r>
    </w:p>
    <w:p>
      <w:r>
        <w:t xml:space="preserve">  - Contains </w:t>
      </w:r>
      <w:r>
        <w:rPr>
          <w:rFonts w:ascii="Courier New" w:hAnsi="Courier New"/>
          <w:sz w:val="18"/>
        </w:rPr>
        <w:t>"pend overdue"</w:t>
      </w:r>
      <w:r>
        <w:t xml:space="preserve"> → count of overdue pending cases</w:t>
      </w:r>
    </w:p>
    <w:p>
      <w:r>
        <w:t xml:space="preserve">  - Contains </w:t>
      </w:r>
      <w:r>
        <w:rPr>
          <w:rFonts w:ascii="Courier New" w:hAnsi="Courier New"/>
          <w:sz w:val="18"/>
        </w:rPr>
        <w:t>"highest overdue"</w:t>
      </w:r>
      <w:r>
        <w:t xml:space="preserve"> → months the oldest overdue case is past its guideline</w:t>
      </w:r>
    </w:p>
    <w:p>
      <w:r>
        <w:t xml:space="preserve">  - Contains </w:t>
      </w:r>
      <w:r>
        <w:rPr>
          <w:rFonts w:ascii="Courier New" w:hAnsi="Courier New"/>
          <w:sz w:val="18"/>
        </w:rPr>
        <w:t>"zero"</w:t>
      </w:r>
      <w:r>
        <w:t xml:space="preserve"> → hardcoded zero (per court requirement, Form A only)</w:t>
      </w:r>
    </w:p>
    <w:p>
      <w:pPr>
        <w:pStyle w:val="Heading2"/>
      </w:pPr>
      <w:r>
        <w:t>Data Cleanup (One-Time, Converted Data)</w:t>
      </w:r>
    </w:p>
    <w:p>
      <w:r>
        <w:t xml:space="preserve">These scripts must be run once before the SCR will produce accurate results on converted case data. Run them in the order listed. Each script outputs a </w:t>
      </w:r>
      <w:r>
        <w:rPr>
          <w:rFonts w:ascii="Courier New" w:hAnsi="Courier New"/>
          <w:sz w:val="18"/>
        </w:rPr>
        <w:t>fixed</w:t>
      </w:r>
      <w:r>
        <w:t xml:space="preserve"> list and a </w:t>
      </w:r>
      <w:r>
        <w:rPr>
          <w:rFonts w:ascii="Courier New" w:hAnsi="Courier New"/>
          <w:sz w:val="18"/>
        </w:rPr>
        <w:t>flagged</w:t>
      </w:r>
      <w:r>
        <w:t xml:space="preserve"> list to the log — review flagged items for manual correction.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Order</w:t>
            </w:r>
          </w:p>
        </w:tc>
        <w:tc>
          <w:tcPr>
            <w:tcW w:type="dxa" w:w="2880"/>
          </w:tcPr>
          <w:p>
            <w:r>
              <w:rPr>
                <w:b/>
              </w:rPr>
            </w:r>
            <w:r>
              <w:rPr>
                <w:b/>
              </w:rPr>
              <w:t>Rule</w:t>
            </w:r>
          </w:p>
        </w:tc>
        <w:tc>
          <w:tcPr>
            <w:tcW w:type="dxa" w:w="2880"/>
          </w:tcPr>
          <w:p>
            <w:r>
              <w:rPr>
                <w:b/>
              </w:rPr>
            </w:r>
            <w:r>
              <w:rPr>
                <w:b/>
              </w:rPr>
              <w:t>Purpose</w:t>
            </w:r>
          </w:p>
        </w:tc>
      </w:tr>
      <w:tr>
        <w:tc>
          <w:tcPr>
            <w:tcW w:type="dxa" w:w="2880"/>
          </w:tcPr>
          <w:p>
            <w:r/>
            <w:r>
              <w:t>1</w:t>
            </w:r>
          </w:p>
        </w:tc>
        <w:tc>
          <w:tcPr>
            <w:tcW w:type="dxa" w:w="2880"/>
          </w:tcPr>
          <w:p>
            <w:r/>
            <w:r/>
            <w:r>
              <w:rPr>
                <w:rFonts w:ascii="Courier New" w:hAnsi="Courier New"/>
                <w:sz w:val="18"/>
              </w:rPr>
              <w:t>CLEANUP_CASEDISPOSITION_TYPE</w:t>
            </w:r>
            <w:r/>
          </w:p>
        </w:tc>
        <w:tc>
          <w:tcPr>
            <w:tcW w:type="dxa" w:w="2880"/>
          </w:tcPr>
          <w:p>
            <w:r/>
            <w:r>
              <w:t xml:space="preserve">Removes </w:t>
            </w:r>
            <w:r>
              <w:rPr>
                <w:rFonts w:ascii="Courier New" w:hAnsi="Courier New"/>
                <w:sz w:val="18"/>
              </w:rPr>
              <w:t>/</w:t>
            </w:r>
            <w:r>
              <w:t xml:space="preserve"> characters from </w:t>
            </w:r>
            <w:r>
              <w:rPr>
                <w:rFonts w:ascii="Courier New" w:hAnsi="Courier New"/>
                <w:sz w:val="18"/>
              </w:rPr>
              <w:t>dispositionType</w:t>
            </w:r>
            <w:r>
              <w:t xml:space="preserve"> values that don't match the current </w:t>
            </w:r>
            <w:r>
              <w:rPr>
                <w:rFonts w:ascii="Courier New" w:hAnsi="Courier New"/>
                <w:sz w:val="18"/>
              </w:rPr>
              <w:t>CASE_DISPOSITION</w:t>
            </w:r>
            <w:r>
              <w:t xml:space="preserve"> lookup list (e.g., converts legacy </w:t>
            </w:r>
            <w:r>
              <w:rPr>
                <w:rFonts w:ascii="Courier New" w:hAnsi="Courier New"/>
                <w:sz w:val="18"/>
              </w:rPr>
              <w:t>B/12</w:t>
            </w:r>
            <w:r>
              <w:t xml:space="preserve"> to </w:t>
            </w:r>
            <w:r>
              <w:rPr>
                <w:rFonts w:ascii="Courier New" w:hAnsi="Courier New"/>
                <w:sz w:val="18"/>
              </w:rPr>
              <w:t>B12</w:t>
            </w:r>
            <w:r>
              <w:t>). Items with no match are flagged for manual review.</w:t>
            </w:r>
          </w:p>
        </w:tc>
      </w:tr>
      <w:tr>
        <w:tc>
          <w:tcPr>
            <w:tcW w:type="dxa" w:w="2880"/>
          </w:tcPr>
          <w:p>
            <w:r/>
            <w:r>
              <w:t>2</w:t>
            </w:r>
          </w:p>
        </w:tc>
        <w:tc>
          <w:tcPr>
            <w:tcW w:type="dxa" w:w="2880"/>
          </w:tcPr>
          <w:p>
            <w:r/>
            <w:r/>
            <w:r>
              <w:rPr>
                <w:rFonts w:ascii="Courier New" w:hAnsi="Courier New"/>
                <w:sz w:val="18"/>
              </w:rPr>
              <w:t>CLEANUP_CASEDISPOSITION_DATE</w:t>
            </w:r>
            <w:r/>
          </w:p>
        </w:tc>
        <w:tc>
          <w:tcPr>
            <w:tcW w:type="dxa" w:w="2880"/>
          </w:tcPr>
          <w:p>
            <w:r/>
            <w:r>
              <w:t xml:space="preserve">Populates blank </w:t>
            </w:r>
            <w:r>
              <w:rPr>
                <w:rFonts w:ascii="Courier New" w:hAnsi="Courier New"/>
                <w:sz w:val="18"/>
              </w:rPr>
              <w:t>cf_beginDate</w:t>
            </w:r>
            <w:r>
              <w:t xml:space="preserve"> on CaseDispositions. Logic varies by jurisdiction: General (Criminal) cases use the earliest qualifying arraignment date; Domestic cases use </w:t>
            </w:r>
            <w:r>
              <w:rPr>
                <w:rFonts w:ascii="Courier New" w:hAnsi="Courier New"/>
                <w:sz w:val="18"/>
              </w:rPr>
              <w:t>reopenReasonDate</w:t>
            </w:r>
            <w:r>
              <w:t xml:space="preserve"> or the prior disposition's begin date; all others use the case filing date. CPC Criminal cases with no arraignment are counted but not updated — manual review required.</w:t>
            </w:r>
          </w:p>
        </w:tc>
      </w:tr>
      <w:tr>
        <w:tc>
          <w:tcPr>
            <w:tcW w:type="dxa" w:w="2880"/>
          </w:tcPr>
          <w:p>
            <w:r/>
            <w:r>
              <w:t>3</w:t>
            </w:r>
          </w:p>
        </w:tc>
        <w:tc>
          <w:tcPr>
            <w:tcW w:type="dxa" w:w="2880"/>
          </w:tcPr>
          <w:p>
            <w:r/>
            <w:r/>
            <w:r>
              <w:rPr>
                <w:rFonts w:ascii="Courier New" w:hAnsi="Courier New"/>
                <w:sz w:val="18"/>
              </w:rPr>
              <w:t>CLEANUP_SCR_DATA</w:t>
            </w:r>
            <w:r/>
          </w:p>
        </w:tc>
        <w:tc>
          <w:tcPr>
            <w:tcW w:type="dxa" w:w="2880"/>
          </w:tcPr>
          <w:p>
            <w:r/>
            <w:r>
              <w:t xml:space="preserve">Two-pass cleanup. Pass 1: populates blank </w:t>
            </w:r>
            <w:r>
              <w:rPr>
                <w:rFonts w:ascii="Courier New" w:hAnsi="Courier New"/>
                <w:sz w:val="18"/>
              </w:rPr>
              <w:t>cf_reopenDate</w:t>
            </w:r>
            <w:r>
              <w:t xml:space="preserve"> on CaseDispositions using arraignment dates (CR/GEN), </w:t>
            </w:r>
            <w:r>
              <w:rPr>
                <w:rFonts w:ascii="Courier New" w:hAnsi="Courier New"/>
                <w:sz w:val="18"/>
              </w:rPr>
              <w:t>reopenReasonDate</w:t>
            </w:r>
            <w:r>
              <w:t xml:space="preserve"> (UNDSP), or RO/O status dates. Pass 2: populates blank </w:t>
            </w:r>
            <w:r>
              <w:rPr>
                <w:rFonts w:ascii="Courier New" w:hAnsi="Courier New"/>
                <w:sz w:val="18"/>
              </w:rPr>
              <w:t>dateRemoved</w:t>
            </w:r>
            <w:r>
              <w:t xml:space="preserve"> on JUD/ADMINJ CaseAssignments by looking for the next subsequent assignment on the case. Items with no match are flagged.</w:t>
            </w:r>
          </w:p>
        </w:tc>
      </w:tr>
      <w:tr>
        <w:tc>
          <w:tcPr>
            <w:tcW w:type="dxa" w:w="2880"/>
          </w:tcPr>
          <w:p>
            <w:r/>
            <w:r>
              <w:t>4</w:t>
            </w:r>
          </w:p>
        </w:tc>
        <w:tc>
          <w:tcPr>
            <w:tcW w:type="dxa" w:w="2880"/>
          </w:tcPr>
          <w:p>
            <w:r/>
            <w:r/>
            <w:r>
              <w:rPr>
                <w:rFonts w:ascii="Courier New" w:hAnsi="Courier New"/>
                <w:sz w:val="18"/>
              </w:rPr>
              <w:t>CLEANUP_CASEDISPOSITION_DATE2</w:t>
            </w:r>
            <w:r/>
          </w:p>
        </w:tc>
        <w:tc>
          <w:tcPr>
            <w:tcW w:type="dxa" w:w="2880"/>
          </w:tcPr>
          <w:p>
            <w:r/>
            <w:r>
              <w:t xml:space="preserve">Second-pass </w:t>
            </w:r>
            <w:r>
              <w:rPr>
                <w:rFonts w:ascii="Courier New" w:hAnsi="Courier New"/>
                <w:sz w:val="18"/>
              </w:rPr>
              <w:t>cf_reopenDate</w:t>
            </w:r>
            <w:r>
              <w:t xml:space="preserve"> cleanup for records that still have a null </w:t>
            </w:r>
            <w:r>
              <w:rPr>
                <w:rFonts w:ascii="Courier New" w:hAnsi="Courier New"/>
                <w:sz w:val="18"/>
              </w:rPr>
              <w:t>cf_reopenDate</w:t>
            </w:r>
            <w:r>
              <w:t xml:space="preserve"> but a non-null </w:t>
            </w:r>
            <w:r>
              <w:rPr>
                <w:rFonts w:ascii="Courier New" w:hAnsi="Courier New"/>
                <w:sz w:val="18"/>
              </w:rPr>
              <w:t>cf_beginDate</w:t>
            </w:r>
            <w:r>
              <w:t xml:space="preserve">. Uses begin date (if first or only disposition on case) or </w:t>
            </w:r>
            <w:r>
              <w:rPr>
                <w:rFonts w:ascii="Courier New" w:hAnsi="Courier New"/>
                <w:sz w:val="18"/>
              </w:rPr>
              <w:t>reopenReasonDate</w:t>
            </w:r>
            <w:r>
              <w:t xml:space="preserve"> as fallback.</w:t>
            </w:r>
          </w:p>
        </w:tc>
      </w:tr>
    </w:tbl>
    <w:p/>
    <w:p>
      <w:pPr>
        <w:pStyle w:val="NoSpacing"/>
        <w:ind w:left="432"/>
      </w:pPr>
      <w:r/>
      <w:r>
        <w:rPr>
          <w:b/>
        </w:rPr>
        <w:t>Tip:</w:t>
      </w:r>
      <w:r>
        <w:t xml:space="preserve"> Enable </w:t>
      </w:r>
      <w:r>
        <w:rPr>
          <w:rFonts w:ascii="Courier New" w:hAnsi="Courier New"/>
          <w:sz w:val="18"/>
        </w:rPr>
        <w:t>_debug = true</w:t>
      </w:r>
      <w:r>
        <w:t xml:space="preserve"> when running cleanup scripts on a test environment to see per-record log output. In production, leave </w:t>
      </w:r>
      <w:r>
        <w:rPr>
          <w:rFonts w:ascii="Courier New" w:hAnsi="Courier New"/>
          <w:sz w:val="18"/>
        </w:rPr>
        <w:t>_debug</w:t>
      </w:r>
      <w:r>
        <w:t xml:space="preserve"> off to avoid flooding the log.</w:t>
      </w:r>
    </w:p>
    <w:p/>
    <w:p>
      <w:pPr>
        <w:pStyle w:val="Heading2"/>
      </w:pPr>
      <w:r>
        <w:t>Auto-Disposition Workflow</w:t>
      </w:r>
    </w:p>
    <w:p>
      <w:r>
        <w:t>Going forward, CaseDispositions are created and updated automatically as judges are assigned and removed from cases. This keeps the SCR data current without manual entry.</w:t>
      </w:r>
    </w:p>
    <w:p>
      <w:pPr>
        <w:pStyle w:val="Heading3"/>
      </w:pPr>
      <w:r>
        <w:t>Workflow</w:t>
      </w:r>
    </w:p>
    <w:p>
      <w:r/>
      <w:r>
        <w:rPr>
          <w:b/>
        </w:rPr>
        <w:t>Name:</w:t>
      </w:r>
      <w:r>
        <w:t xml:space="preserve"> </w:t>
      </w:r>
      <w:r>
        <w:rPr>
          <w:rFonts w:ascii="Courier New" w:hAnsi="Courier New"/>
          <w:sz w:val="18"/>
        </w:rPr>
        <w:t>SC Reports: Update Case Disposition on Judge Assign/Remove</w:t>
      </w:r>
      <w:r>
        <w:t xml:space="preserve">  </w:t>
      </w:r>
    </w:p>
    <w:p>
      <w:r/>
      <w:r>
        <w:rPr>
          <w:b/>
        </w:rPr>
        <w:t>Trigger:</w:t>
      </w:r>
      <w:r>
        <w:t xml:space="preserve"> Judge assigned to or removed from a case (CaseAssignment add/update)</w:t>
      </w:r>
    </w:p>
    <w:p>
      <w:r>
        <w:t>The workflow fires one of two business rules depending on the situation: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Scenario</w:t>
            </w:r>
          </w:p>
        </w:tc>
        <w:tc>
          <w:tcPr>
            <w:tcW w:type="dxa" w:w="4320"/>
          </w:tcPr>
          <w:p>
            <w:r>
              <w:rPr>
                <w:b/>
              </w:rPr>
            </w:r>
            <w:r>
              <w:rPr>
                <w:b/>
              </w:rPr>
              <w:t>Rule Fired</w:t>
            </w:r>
          </w:p>
        </w:tc>
      </w:tr>
      <w:tr>
        <w:tc>
          <w:tcPr>
            <w:tcW w:type="dxa" w:w="4320"/>
          </w:tcPr>
          <w:p>
            <w:r/>
            <w:r>
              <w:t>Judge assigned to a case</w:t>
            </w:r>
          </w:p>
        </w:tc>
        <w:tc>
          <w:tcPr>
            <w:tcW w:type="dxa" w:w="4320"/>
          </w:tcPr>
          <w:p>
            <w:r/>
            <w:r/>
            <w:r>
              <w:rPr>
                <w:rFonts w:ascii="Courier New" w:hAnsi="Courier New"/>
                <w:sz w:val="18"/>
              </w:rPr>
              <w:t>ADD_CASEDISP_JUDGE</w:t>
            </w:r>
            <w:r/>
          </w:p>
        </w:tc>
      </w:tr>
      <w:tr>
        <w:tc>
          <w:tcPr>
            <w:tcW w:type="dxa" w:w="4320"/>
          </w:tcPr>
          <w:p>
            <w:r/>
            <w:r>
              <w:t>Judge removed from a case</w:t>
            </w:r>
          </w:p>
        </w:tc>
        <w:tc>
          <w:tcPr>
            <w:tcW w:type="dxa" w:w="4320"/>
          </w:tcPr>
          <w:p>
            <w:r/>
            <w:r/>
            <w:r>
              <w:rPr>
                <w:rFonts w:ascii="Courier New" w:hAnsi="Courier New"/>
                <w:sz w:val="18"/>
              </w:rPr>
              <w:t>UPDATE_CASEDISP_JUDGE</w:t>
            </w:r>
            <w:r/>
          </w:p>
        </w:tc>
      </w:tr>
    </w:tbl>
    <w:p/>
    <w:p>
      <w:pPr>
        <w:pStyle w:val="Heading3"/>
      </w:pPr>
      <w:r>
        <w:t>Deploy the Business Rules</w:t>
      </w:r>
    </w:p>
    <w:p>
      <w:r>
        <w:t xml:space="preserve">Deploy both rules as </w:t>
      </w:r>
      <w:r>
        <w:rPr>
          <w:b/>
        </w:rPr>
        <w:t>Standard</w:t>
      </w:r>
      <w:r>
        <w:t xml:space="preserve"> business rules with a single input parameter </w:t>
      </w:r>
      <w:r>
        <w:rPr>
          <w:rFonts w:ascii="Courier New" w:hAnsi="Courier New"/>
          <w:sz w:val="18"/>
        </w:rPr>
        <w:t>_ca</w:t>
      </w:r>
      <w:r>
        <w:t xml:space="preserve"> of type </w:t>
      </w:r>
      <w:r>
        <w:rPr>
          <w:rFonts w:ascii="Courier New" w:hAnsi="Courier New"/>
          <w:sz w:val="18"/>
        </w:rPr>
        <w:t>CaseAssignment</w:t>
      </w:r>
      <w:r>
        <w:t>.</w:t>
      </w:r>
    </w:p>
    <w:p>
      <w:r>
        <w:t xml:space="preserve">#### </w:t>
      </w:r>
      <w:r>
        <w:rPr>
          <w:rFonts w:ascii="Courier New" w:hAnsi="Courier New"/>
          <w:sz w:val="18"/>
        </w:rPr>
        <w:t>ADD_CASEDISP_JUDGE</w:t>
      </w:r>
      <w:r/>
    </w:p>
    <w:p>
      <w:r>
        <w:t>Creates or updates the UNDSP CaseDisposition when a judge is assigned. Behavior:</w:t>
      </w:r>
    </w:p>
    <w:p>
      <w:pPr>
        <w:pStyle w:val="ListBullet"/>
      </w:pPr>
      <w:r>
        <w:t>Skips Probate cases (</w:t>
      </w:r>
      <w:r>
        <w:rPr>
          <w:rFonts w:ascii="Courier New" w:hAnsi="Courier New"/>
          <w:sz w:val="18"/>
        </w:rPr>
        <w:t>caseJurisdiction == PROB</w:t>
      </w:r>
      <w:r>
        <w:t>).</w:t>
      </w:r>
    </w:p>
    <w:p>
      <w:pPr>
        <w:pStyle w:val="ListBullet"/>
      </w:pPr>
      <w:r>
        <w:t xml:space="preserve">Ensures </w:t>
      </w:r>
      <w:r>
        <w:rPr>
          <w:rFonts w:ascii="Courier New" w:hAnsi="Courier New"/>
          <w:sz w:val="18"/>
        </w:rPr>
        <w:t>dateAssigned</w:t>
      </w:r>
      <w:r>
        <w:t xml:space="preserve"> is set on the assignment (defaults to </w:t>
      </w:r>
      <w:r>
        <w:rPr>
          <w:rFonts w:ascii="Courier New" w:hAnsi="Courier New"/>
          <w:sz w:val="18"/>
        </w:rPr>
        <w:t>statusDate</w:t>
      </w:r>
      <w:r>
        <w:t xml:space="preserve"> or today).</w:t>
      </w:r>
    </w:p>
    <w:p>
      <w:pPr>
        <w:pStyle w:val="ListBullet"/>
      </w:pPr>
      <w:r>
        <w:t>Finds the most recent non-UNDSP disposition on the case to carry forward reporting fields.</w:t>
      </w:r>
    </w:p>
    <w:p>
      <w:pPr>
        <w:pStyle w:val="ListBullet"/>
      </w:pPr>
      <w:r>
        <w:t>Creates a new UNDSP disposition (or updates the existing one) with:</w:t>
      </w:r>
    </w:p>
    <w:p>
      <w:r>
        <w:t xml:space="preserve">  - </w:t>
      </w:r>
      <w:r>
        <w:rPr>
          <w:rFonts w:ascii="Courier New" w:hAnsi="Courier New"/>
          <w:sz w:val="18"/>
        </w:rPr>
        <w:t>dispositionType</w:t>
      </w:r>
      <w:r>
        <w:t xml:space="preserve"> = </w:t>
      </w:r>
      <w:r>
        <w:rPr>
          <w:rFonts w:ascii="Courier New" w:hAnsi="Courier New"/>
          <w:sz w:val="18"/>
        </w:rPr>
        <w:t>UNDSP</w:t>
      </w:r>
      <w:r/>
    </w:p>
    <w:p>
      <w:r>
        <w:t xml:space="preserve">  - </w:t>
      </w:r>
      <w:r>
        <w:rPr>
          <w:rFonts w:ascii="Courier New" w:hAnsi="Courier New"/>
          <w:sz w:val="18"/>
        </w:rPr>
        <w:t>reopenReasonDate</w:t>
      </w:r>
      <w:r>
        <w:t xml:space="preserve"> / </w:t>
      </w:r>
      <w:r>
        <w:rPr>
          <w:rFonts w:ascii="Courier New" w:hAnsi="Courier New"/>
          <w:sz w:val="18"/>
        </w:rPr>
        <w:t>reopenReason</w:t>
      </w:r>
      <w:r>
        <w:t xml:space="preserve"> = assignment date / </w:t>
      </w:r>
      <w:r>
        <w:rPr>
          <w:rFonts w:ascii="Courier New" w:hAnsi="Courier New"/>
          <w:sz w:val="18"/>
        </w:rPr>
        <w:t>OPEN</w:t>
      </w:r>
      <w:r/>
    </w:p>
    <w:p>
      <w:r>
        <w:t xml:space="preserve">  - </w:t>
      </w:r>
      <w:r>
        <w:rPr>
          <w:rFonts w:ascii="Courier New" w:hAnsi="Courier New"/>
          <w:sz w:val="18"/>
        </w:rPr>
        <w:t>cf_beginDate</w:t>
      </w:r>
      <w:r>
        <w:t xml:space="preserve"> and </w:t>
      </w:r>
      <w:r>
        <w:rPr>
          <w:rFonts w:ascii="Courier New" w:hAnsi="Courier New"/>
          <w:sz w:val="18"/>
        </w:rPr>
        <w:t>cf_reopenDate</w:t>
      </w:r>
      <w:r>
        <w:t xml:space="preserve"> carried forward from the prior disposition if one exists</w:t>
      </w:r>
    </w:p>
    <w:p>
      <w:r>
        <w:t xml:space="preserve">  - </w:t>
      </w:r>
      <w:r>
        <w:rPr>
          <w:rFonts w:ascii="Courier New" w:hAnsi="Courier New"/>
          <w:sz w:val="18"/>
        </w:rPr>
        <w:t>dispositionSource</w:t>
      </w:r>
      <w:r>
        <w:t xml:space="preserve"> (action code) carried forward from the prior disposition</w:t>
      </w:r>
    </w:p>
    <w:p>
      <w:pPr>
        <w:pStyle w:val="ListBullet"/>
      </w:pPr>
      <w:r>
        <w:t xml:space="preserve">For non-Criminal General cases with no prior disposition, sets </w:t>
      </w:r>
      <w:r>
        <w:rPr>
          <w:rFonts w:ascii="Courier New" w:hAnsi="Courier New"/>
          <w:sz w:val="18"/>
        </w:rPr>
        <w:t>cf_beginDate</w:t>
      </w:r>
      <w:r>
        <w:t xml:space="preserve"> to the assignment date (i.e., this is the case's first reportable period).</w:t>
      </w:r>
    </w:p>
    <w:p>
      <w:pPr>
        <w:pStyle w:val="ListBullet"/>
      </w:pPr>
      <w:r>
        <w:t>CPC Criminal cases (</w:t>
      </w:r>
      <w:r>
        <w:rPr>
          <w:rFonts w:ascii="Courier New" w:hAnsi="Courier New"/>
          <w:sz w:val="18"/>
        </w:rPr>
        <w:t>GEN/CR</w:t>
      </w:r>
      <w:r>
        <w:t xml:space="preserve">) do not get </w:t>
      </w:r>
      <w:r>
        <w:rPr>
          <w:rFonts w:ascii="Courier New" w:hAnsi="Courier New"/>
          <w:sz w:val="18"/>
        </w:rPr>
        <w:t>cf_beginDate</w:t>
      </w:r>
      <w:r>
        <w:t xml:space="preserve"> set here — that comes from the arraignment event.</w:t>
      </w:r>
    </w:p>
    <w:p>
      <w:r>
        <w:t xml:space="preserve">#### </w:t>
      </w:r>
      <w:r>
        <w:rPr>
          <w:rFonts w:ascii="Courier New" w:hAnsi="Courier New"/>
          <w:sz w:val="18"/>
        </w:rPr>
        <w:t>UPDATE_CASEDISP_JUDGE</w:t>
      </w:r>
      <w:r/>
    </w:p>
    <w:p>
      <w:r>
        <w:t>Closes the current UNDSP disposition with a transfer type when a judge is removed. Behavior:</w:t>
      </w:r>
    </w:p>
    <w:p>
      <w:pPr>
        <w:pStyle w:val="ListBullet"/>
      </w:pPr>
      <w:r>
        <w:t>Skips Probate cases.</w:t>
      </w:r>
    </w:p>
    <w:p>
      <w:pPr>
        <w:pStyle w:val="ListBullet"/>
      </w:pPr>
      <w:r>
        <w:t xml:space="preserve">Finds the current UNDSP disposition and sets </w:t>
      </w:r>
      <w:r>
        <w:rPr>
          <w:rFonts w:ascii="Courier New" w:hAnsi="Courier New"/>
          <w:sz w:val="18"/>
        </w:rPr>
        <w:t>dispositionType</w:t>
      </w:r>
      <w:r>
        <w:t xml:space="preserve"> based on jurisdiction: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Assignment Role</w:t>
            </w:r>
          </w:p>
        </w:tc>
        <w:tc>
          <w:tcPr>
            <w:tcW w:type="dxa" w:w="2880"/>
          </w:tcPr>
          <w:p>
            <w:r>
              <w:rPr>
                <w:b/>
              </w:rPr>
            </w:r>
            <w:r>
              <w:rPr>
                <w:b/>
              </w:rPr>
              <w:t>Jurisdiction</w:t>
            </w:r>
          </w:p>
        </w:tc>
        <w:tc>
          <w:tcPr>
            <w:tcW w:type="dxa" w:w="2880"/>
          </w:tcPr>
          <w:p>
            <w:r>
              <w:rPr>
                <w:b/>
              </w:rPr>
            </w:r>
            <w:r>
              <w:rPr>
                <w:b/>
              </w:rPr>
              <w:t>Disposition Type Set</w:t>
            </w:r>
          </w:p>
        </w:tc>
      </w:tr>
      <w:tr>
        <w:tc>
          <w:tcPr>
            <w:tcW w:type="dxa" w:w="2880"/>
          </w:tcPr>
          <w:p>
            <w:r/>
            <w:r/>
            <w:r>
              <w:rPr>
                <w:rFonts w:ascii="Courier New" w:hAnsi="Courier New"/>
                <w:sz w:val="18"/>
              </w:rPr>
              <w:t>ADMINJ</w:t>
            </w:r>
            <w:r/>
          </w:p>
        </w:tc>
        <w:tc>
          <w:tcPr>
            <w:tcW w:type="dxa" w:w="2880"/>
          </w:tcPr>
          <w:p>
            <w:r/>
            <w:r>
              <w:t>Any</w:t>
            </w:r>
          </w:p>
        </w:tc>
        <w:tc>
          <w:tcPr>
            <w:tcW w:type="dxa" w:w="2880"/>
          </w:tcPr>
          <w:p>
            <w:r/>
            <w:r/>
            <w:r>
              <w:rPr>
                <w:rFonts w:ascii="Courier New" w:hAnsi="Courier New"/>
                <w:sz w:val="18"/>
              </w:rPr>
              <w:t>MCATIJ</w:t>
            </w:r>
            <w:r/>
          </w:p>
        </w:tc>
      </w:tr>
      <w:tr>
        <w:tc>
          <w:tcPr>
            <w:tcW w:type="dxa" w:w="2880"/>
          </w:tcPr>
          <w:p>
            <w:r/>
            <w:r/>
            <w:r>
              <w:rPr>
                <w:rFonts w:ascii="Courier New" w:hAnsi="Courier New"/>
                <w:sz w:val="18"/>
              </w:rPr>
              <w:t>JUD</w:t>
            </w:r>
            <w:r/>
          </w:p>
        </w:tc>
        <w:tc>
          <w:tcPr>
            <w:tcW w:type="dxa" w:w="2880"/>
          </w:tcPr>
          <w:p>
            <w:r/>
            <w:r/>
            <w:r>
              <w:rPr>
                <w:rFonts w:ascii="Courier New" w:hAnsi="Courier New"/>
                <w:sz w:val="18"/>
              </w:rPr>
              <w:t>GEN</w:t>
            </w:r>
            <w:r/>
          </w:p>
        </w:tc>
        <w:tc>
          <w:tcPr>
            <w:tcW w:type="dxa" w:w="2880"/>
          </w:tcPr>
          <w:p>
            <w:r/>
            <w:r/>
            <w:r>
              <w:rPr>
                <w:rFonts w:ascii="Courier New" w:hAnsi="Courier New"/>
                <w:sz w:val="18"/>
              </w:rPr>
              <w:t>CPCTRANSFR</w:t>
            </w:r>
            <w:r/>
          </w:p>
        </w:tc>
      </w:tr>
      <w:tr>
        <w:tc>
          <w:tcPr>
            <w:tcW w:type="dxa" w:w="2880"/>
          </w:tcPr>
          <w:p>
            <w:r/>
            <w:r/>
            <w:r>
              <w:rPr>
                <w:rFonts w:ascii="Courier New" w:hAnsi="Courier New"/>
                <w:sz w:val="18"/>
              </w:rPr>
              <w:t>JUD</w:t>
            </w:r>
            <w:r/>
          </w:p>
        </w:tc>
        <w:tc>
          <w:tcPr>
            <w:tcW w:type="dxa" w:w="2880"/>
          </w:tcPr>
          <w:p>
            <w:r/>
            <w:r/>
            <w:r>
              <w:rPr>
                <w:rFonts w:ascii="Courier New" w:hAnsi="Courier New"/>
                <w:sz w:val="18"/>
              </w:rPr>
              <w:t>DOM</w:t>
            </w:r>
            <w:r/>
          </w:p>
        </w:tc>
        <w:tc>
          <w:tcPr>
            <w:tcW w:type="dxa" w:w="2880"/>
          </w:tcPr>
          <w:p>
            <w:r/>
            <w:r/>
            <w:r>
              <w:rPr>
                <w:rFonts w:ascii="Courier New" w:hAnsi="Courier New"/>
                <w:sz w:val="18"/>
              </w:rPr>
              <w:t>B12</w:t>
            </w:r>
            <w:r/>
          </w:p>
        </w:tc>
      </w:tr>
      <w:tr>
        <w:tc>
          <w:tcPr>
            <w:tcW w:type="dxa" w:w="2880"/>
          </w:tcPr>
          <w:p>
            <w:r/>
            <w:r/>
            <w:r>
              <w:rPr>
                <w:rFonts w:ascii="Courier New" w:hAnsi="Courier New"/>
                <w:sz w:val="18"/>
              </w:rPr>
              <w:t>JUD</w:t>
            </w:r>
            <w:r/>
          </w:p>
        </w:tc>
        <w:tc>
          <w:tcPr>
            <w:tcW w:type="dxa" w:w="2880"/>
          </w:tcPr>
          <w:p>
            <w:r/>
            <w:r/>
            <w:r>
              <w:rPr>
                <w:rFonts w:ascii="Courier New" w:hAnsi="Courier New"/>
                <w:sz w:val="18"/>
              </w:rPr>
              <w:t>MUNI</w:t>
            </w:r>
            <w:r/>
          </w:p>
        </w:tc>
        <w:tc>
          <w:tcPr>
            <w:tcW w:type="dxa" w:w="2880"/>
          </w:tcPr>
          <w:p>
            <w:r/>
            <w:r/>
            <w:r>
              <w:rPr>
                <w:rFonts w:ascii="Courier New" w:hAnsi="Courier New"/>
                <w:sz w:val="18"/>
              </w:rPr>
              <w:t>MCITR</w:t>
            </w:r>
            <w:r/>
          </w:p>
        </w:tc>
      </w:tr>
      <w:tr>
        <w:tc>
          <w:tcPr>
            <w:tcW w:type="dxa" w:w="2880"/>
          </w:tcPr>
          <w:p>
            <w:r/>
            <w:r/>
            <w:r>
              <w:rPr>
                <w:rFonts w:ascii="Courier New" w:hAnsi="Courier New"/>
                <w:sz w:val="18"/>
              </w:rPr>
              <w:t>JUD</w:t>
            </w:r>
            <w:r/>
          </w:p>
        </w:tc>
        <w:tc>
          <w:tcPr>
            <w:tcW w:type="dxa" w:w="2880"/>
          </w:tcPr>
          <w:p>
            <w:r/>
            <w:r>
              <w:t>Other</w:t>
            </w:r>
          </w:p>
        </w:tc>
        <w:tc>
          <w:tcPr>
            <w:tcW w:type="dxa" w:w="2880"/>
          </w:tcPr>
          <w:p>
            <w:r/>
            <w:r>
              <w:t>*(no action)*</w:t>
            </w:r>
          </w:p>
        </w:tc>
      </w:tr>
    </w:tbl>
    <w:p/>
    <w:p>
      <w:pPr>
        <w:pStyle w:val="ListBullet"/>
      </w:pPr>
      <w:r>
        <w:t xml:space="preserve">Sets </w:t>
      </w:r>
      <w:r>
        <w:rPr>
          <w:rFonts w:ascii="Courier New" w:hAnsi="Courier New"/>
          <w:sz w:val="18"/>
        </w:rPr>
        <w:t>dispositionDate</w:t>
      </w:r>
      <w:r>
        <w:t xml:space="preserve"> to today and ensures </w:t>
      </w:r>
      <w:r>
        <w:rPr>
          <w:rFonts w:ascii="Courier New" w:hAnsi="Courier New"/>
          <w:sz w:val="18"/>
        </w:rPr>
        <w:t>dateRemoved</w:t>
      </w:r>
      <w:r>
        <w:t xml:space="preserve"> is set on the assignment.</w:t>
      </w:r>
    </w:p>
    <w:p>
      <w:pPr>
        <w:pStyle w:val="Heading3"/>
      </w:pPr>
      <w:r>
        <w:t>Configure the Workflow</w:t>
      </w:r>
    </w:p>
    <w:p>
      <w:r>
        <w:t>Set up the workflow to trigger on CaseAssignment save (add and update). The workflow should:</w:t>
      </w:r>
    </w:p>
    <w:p>
      <w:pPr>
        <w:pStyle w:val="ListNumber"/>
      </w:pPr>
      <w:r>
        <w:t>Check whether the assignment is being added (judge assigned) or the judge is being removed (</w:t>
      </w:r>
      <w:r>
        <w:rPr>
          <w:rFonts w:ascii="Courier New" w:hAnsi="Courier New"/>
          <w:sz w:val="18"/>
        </w:rPr>
        <w:t>dateRemoved</w:t>
      </w:r>
      <w:r>
        <w:t xml:space="preserve"> is newly set).</w:t>
      </w:r>
    </w:p>
    <w:p>
      <w:pPr>
        <w:pStyle w:val="ListNumber"/>
      </w:pPr>
      <w:r>
        <w:t xml:space="preserve">Fire </w:t>
      </w:r>
      <w:r>
        <w:rPr>
          <w:rFonts w:ascii="Courier New" w:hAnsi="Courier New"/>
          <w:sz w:val="18"/>
        </w:rPr>
        <w:t>ADD_CASEDISP_JUDGE</w:t>
      </w:r>
      <w:r>
        <w:t xml:space="preserve"> passing the CaseAssignment as </w:t>
      </w:r>
      <w:r>
        <w:rPr>
          <w:rFonts w:ascii="Courier New" w:hAnsi="Courier New"/>
          <w:sz w:val="18"/>
        </w:rPr>
        <w:t>_ca</w:t>
      </w:r>
      <w:r>
        <w:t xml:space="preserve"> when a judge is assigned.</w:t>
      </w:r>
    </w:p>
    <w:p>
      <w:pPr>
        <w:pStyle w:val="ListNumber"/>
      </w:pPr>
      <w:r>
        <w:t xml:space="preserve">Fire </w:t>
      </w:r>
      <w:r>
        <w:rPr>
          <w:rFonts w:ascii="Courier New" w:hAnsi="Courier New"/>
          <w:sz w:val="18"/>
        </w:rPr>
        <w:t>UPDATE_CASEDISP_JUDGE</w:t>
      </w:r>
      <w:r>
        <w:t xml:space="preserve"> passing the CaseAssignment as </w:t>
      </w:r>
      <w:r>
        <w:rPr>
          <w:rFonts w:ascii="Courier New" w:hAnsi="Courier New"/>
          <w:sz w:val="18"/>
        </w:rPr>
        <w:t>_ca</w:t>
      </w:r>
      <w:r>
        <w:t xml:space="preserve"> when a judge is removed.</w:t>
      </w:r>
    </w:p>
    <w:p>
      <w:pPr>
        <w:pStyle w:val="Heading2"/>
      </w:pPr>
      <w:r>
        <w:t>Error Handling</w:t>
      </w:r>
    </w:p>
    <w:p>
      <w:r>
        <w:t xml:space="preserve">Configuration errors cause the rule to throw a </w:t>
      </w:r>
      <w:r>
        <w:rPr>
          <w:rFonts w:ascii="Courier New" w:hAnsi="Courier New"/>
          <w:sz w:val="18"/>
        </w:rPr>
        <w:t>ReportException</w:t>
      </w:r>
      <w:r>
        <w:t>, which stops the report and displays the error message directly in eCourt. If a report fails to generate, read the error message shown on screen — it will identify the specific misconfiguration.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Error Message</w:t>
            </w:r>
          </w:p>
        </w:tc>
        <w:tc>
          <w:tcPr>
            <w:tcW w:type="dxa" w:w="4320"/>
          </w:tcPr>
          <w:p>
            <w:r>
              <w:rPr>
                <w:b/>
              </w:rPr>
            </w:r>
            <w:r>
              <w:rPr>
                <w:b/>
              </w:rPr>
              <w:t>Cause</w:t>
            </w:r>
          </w:p>
        </w:tc>
      </w:tr>
      <w:tr>
        <w:tc>
          <w:tcPr>
            <w:tcW w:type="dxa" w:w="4320"/>
          </w:tcPr>
          <w:p>
            <w:r/>
            <w:r/>
            <w:r>
              <w:rPr>
                <w:rFonts w:ascii="Courier New" w:hAnsi="Courier New"/>
                <w:sz w:val="18"/>
              </w:rPr>
              <w:t>Couldn't find a DirPerson matching {code}</w:t>
            </w:r>
            <w:r/>
          </w:p>
        </w:tc>
        <w:tc>
          <w:tcPr>
            <w:tcW w:type="dxa" w:w="4320"/>
          </w:tcPr>
          <w:p>
            <w:r/>
            <w:r>
              <w:t>Judge selector value doesn't resolve to a valid DirPerson. Check the judge dropdown query. (This should never happen.)</w:t>
            </w:r>
          </w:p>
        </w:tc>
      </w:tr>
      <w:tr>
        <w:tc>
          <w:tcPr>
            <w:tcW w:type="dxa" w:w="4320"/>
          </w:tcPr>
          <w:p>
            <w:r/>
            <w:r/>
            <w:r>
              <w:rPr>
                <w:rFonts w:ascii="Courier New" w:hAnsi="Courier New"/>
                <w:sz w:val="18"/>
              </w:rPr>
              <w:t>No SCR {letter} attributes are defined for Lookup List EVENT_RESULT</w:t>
            </w:r>
            <w:r/>
          </w:p>
        </w:tc>
        <w:tc>
          <w:tcPr>
            <w:tcW w:type="dxa" w:w="4320"/>
          </w:tcPr>
          <w:p>
            <w:r/>
            <w:r>
              <w:t xml:space="preserve">Form A only — </w:t>
            </w:r>
            <w:r>
              <w:rPr>
                <w:rFonts w:ascii="Courier New" w:hAnsi="Courier New"/>
                <w:sz w:val="18"/>
              </w:rPr>
              <w:t>EVENT_RESULT</w:t>
            </w:r>
            <w:r>
              <w:t xml:space="preserve"> has no items with </w:t>
            </w:r>
            <w:r>
              <w:rPr>
                <w:rFonts w:ascii="Courier New" w:hAnsi="Courier New"/>
                <w:sz w:val="18"/>
              </w:rPr>
              <w:t>SCR/A</w:t>
            </w:r>
            <w:r>
              <w:t xml:space="preserve"> attributes.</w:t>
            </w:r>
          </w:p>
        </w:tc>
      </w:tr>
      <w:tr>
        <w:tc>
          <w:tcPr>
            <w:tcW w:type="dxa" w:w="4320"/>
          </w:tcPr>
          <w:p>
            <w:r/>
            <w:r/>
            <w:r>
              <w:rPr>
                <w:rFonts w:ascii="Courier New" w:hAnsi="Courier New"/>
                <w:sz w:val="18"/>
              </w:rPr>
              <w:t>No SCR {letter} attributes are defined for Lookup List SUB_CASE_TYPE</w:t>
            </w:r>
            <w:r/>
          </w:p>
        </w:tc>
        <w:tc>
          <w:tcPr>
            <w:tcW w:type="dxa" w:w="4320"/>
          </w:tcPr>
          <w:p>
            <w:r/>
            <w:r/>
            <w:r>
              <w:rPr>
                <w:rFonts w:ascii="Courier New" w:hAnsi="Courier New"/>
                <w:sz w:val="18"/>
              </w:rPr>
              <w:t>SUB_CASE_TYPE</w:t>
            </w:r>
            <w:r>
              <w:t xml:space="preserve"> has no items with </w:t>
            </w:r>
            <w:r>
              <w:rPr>
                <w:rFonts w:ascii="Courier New" w:hAnsi="Courier New"/>
                <w:sz w:val="18"/>
              </w:rPr>
              <w:t>SCR/{letter}</w:t>
            </w:r>
            <w:r>
              <w:t xml:space="preserve"> attributes for this form.</w:t>
            </w:r>
          </w:p>
        </w:tc>
      </w:tr>
      <w:tr>
        <w:tc>
          <w:tcPr>
            <w:tcW w:type="dxa" w:w="4320"/>
          </w:tcPr>
          <w:p>
            <w:r/>
            <w:r/>
            <w:r>
              <w:rPr>
                <w:rFonts w:ascii="Courier New" w:hAnsi="Courier New"/>
                <w:sz w:val="18"/>
              </w:rPr>
              <w:t>No SCR {letter} attributes are defined for Lookup List CASE_DISPOSITION</w:t>
            </w:r>
            <w:r/>
          </w:p>
        </w:tc>
        <w:tc>
          <w:tcPr>
            <w:tcW w:type="dxa" w:w="4320"/>
          </w:tcPr>
          <w:p>
            <w:r/>
            <w:r/>
            <w:r>
              <w:rPr>
                <w:rFonts w:ascii="Courier New" w:hAnsi="Courier New"/>
                <w:sz w:val="18"/>
              </w:rPr>
              <w:t>CASE_DISPOSITION</w:t>
            </w:r>
            <w:r>
              <w:t xml:space="preserve"> has no items with </w:t>
            </w:r>
            <w:r>
              <w:rPr>
                <w:rFonts w:ascii="Courier New" w:hAnsi="Courier New"/>
                <w:sz w:val="18"/>
              </w:rPr>
              <w:t>SCR/{letter}</w:t>
            </w:r>
            <w:r>
              <w:t xml:space="preserve"> attributes for this form.</w:t>
            </w:r>
          </w:p>
        </w:tc>
      </w:tr>
      <w:tr>
        <w:tc>
          <w:tcPr>
            <w:tcW w:type="dxa" w:w="4320"/>
          </w:tcPr>
          <w:p>
            <w:r/>
            <w:r/>
            <w:r>
              <w:rPr>
                <w:rFonts w:ascii="Courier New" w:hAnsi="Courier New"/>
                <w:sz w:val="18"/>
              </w:rPr>
              <w:t>Couldn't find any column/row definitions in Lookup List SCR_FORM_{letter}</w:t>
            </w:r>
            <w:r/>
          </w:p>
        </w:tc>
        <w:tc>
          <w:tcPr>
            <w:tcW w:type="dxa" w:w="4320"/>
          </w:tcPr>
          <w:p>
            <w:r/>
            <w:r>
              <w:t>The form's lookup list is missing or has no letter/number-coded items.</w:t>
            </w:r>
          </w:p>
        </w:tc>
      </w:tr>
      <w:tr>
        <w:tc>
          <w:tcPr>
            <w:tcW w:type="dxa" w:w="4320"/>
          </w:tcPr>
          <w:p>
            <w:r/>
            <w:r/>
            <w:r>
              <w:rPr>
                <w:rFonts w:ascii="Courier New" w:hAnsi="Courier New"/>
                <w:sz w:val="18"/>
              </w:rPr>
              <w:t>Column code {x} was not found in SCR_FORM_{letter}</w:t>
            </w:r>
            <w:r/>
          </w:p>
        </w:tc>
        <w:tc>
          <w:tcPr>
            <w:tcW w:type="dxa" w:w="4320"/>
          </w:tcPr>
          <w:p>
            <w:r/>
            <w:r>
              <w:t xml:space="preserve">A </w:t>
            </w:r>
            <w:r>
              <w:rPr>
                <w:rFonts w:ascii="Courier New" w:hAnsi="Courier New"/>
                <w:sz w:val="18"/>
              </w:rPr>
              <w:t>SUB_CASE_TYPE</w:t>
            </w:r>
            <w:r>
              <w:t xml:space="preserve"> SCR attribute value doesn't match any column code in the form list. Check that the attribute Value field is set.</w:t>
            </w:r>
          </w:p>
        </w:tc>
      </w:tr>
      <w:tr>
        <w:tc>
          <w:tcPr>
            <w:tcW w:type="dxa" w:w="4320"/>
          </w:tcPr>
          <w:p>
            <w:r/>
            <w:r/>
            <w:r>
              <w:rPr>
                <w:rFonts w:ascii="Courier New" w:hAnsi="Courier New"/>
                <w:sz w:val="18"/>
              </w:rPr>
              <w:t>Definition for row {n} was not found in SCR_FORM_{letter}</w:t>
            </w:r>
            <w:r/>
          </w:p>
        </w:tc>
        <w:tc>
          <w:tcPr>
            <w:tcW w:type="dxa" w:w="4320"/>
          </w:tcPr>
          <w:p>
            <w:r/>
            <w:r>
              <w:t xml:space="preserve">A </w:t>
            </w:r>
            <w:r>
              <w:rPr>
                <w:rFonts w:ascii="Courier New" w:hAnsi="Courier New"/>
                <w:sz w:val="18"/>
              </w:rPr>
              <w:t>CASE_DISPOSITION</w:t>
            </w:r>
            <w:r>
              <w:t xml:space="preserve"> SCR attribute value doesn't match any row code in the form list.</w:t>
            </w:r>
          </w:p>
        </w:tc>
      </w:tr>
      <w:tr>
        <w:tc>
          <w:tcPr>
            <w:tcW w:type="dxa" w:w="4320"/>
          </w:tcPr>
          <w:p>
            <w:r/>
            <w:r/>
            <w:r>
              <w:rPr>
                <w:rFonts w:ascii="Courier New" w:hAnsi="Courier New"/>
                <w:sz w:val="18"/>
              </w:rPr>
              <w:t>Column {x} doesn't have a guideline defined</w:t>
            </w:r>
            <w:r/>
          </w:p>
        </w:tc>
        <w:tc>
          <w:tcPr>
            <w:tcW w:type="dxa" w:w="4320"/>
          </w:tcPr>
          <w:p>
            <w:r/>
            <w:r>
              <w:t xml:space="preserve">The column item in </w:t>
            </w:r>
            <w:r>
              <w:rPr>
                <w:rFonts w:ascii="Courier New" w:hAnsi="Courier New"/>
                <w:sz w:val="18"/>
              </w:rPr>
              <w:t>SCR_FORM_{letter}</w:t>
            </w:r>
            <w:r>
              <w:t xml:space="preserve"> has no number at the end of its Description.</w:t>
            </w:r>
          </w:p>
        </w:tc>
      </w:tr>
    </w:tbl>
    <w:p/>
    <w:p>
      <w:pPr>
        <w:pStyle w:val="Heading2"/>
      </w:pPr>
      <w:r>
        <w:t>Testing</w:t>
      </w:r>
    </w:p>
    <w:p>
      <w:pPr>
        <w:pStyle w:val="ListNumber"/>
      </w:pPr>
      <w:r/>
      <w:r>
        <w:rPr>
          <w:b/>
        </w:rPr>
        <w:t>Verify lookup lists</w:t>
      </w:r>
      <w:r>
        <w:t xml:space="preserve"> — confirm </w:t>
      </w:r>
      <w:r>
        <w:rPr>
          <w:rFonts w:ascii="Courier New" w:hAnsi="Courier New"/>
          <w:sz w:val="18"/>
        </w:rPr>
        <w:t>SCR_FORM_{letter}</w:t>
      </w:r>
      <w:r>
        <w:t xml:space="preserve">, </w:t>
      </w:r>
      <w:r>
        <w:rPr>
          <w:rFonts w:ascii="Courier New" w:hAnsi="Courier New"/>
          <w:sz w:val="18"/>
        </w:rPr>
        <w:t>SUB_CASE_TYPE</w:t>
      </w:r>
      <w:r>
        <w:t xml:space="preserve">, </w:t>
      </w:r>
      <w:r>
        <w:rPr>
          <w:rFonts w:ascii="Courier New" w:hAnsi="Courier New"/>
          <w:sz w:val="18"/>
        </w:rPr>
        <w:t>CASE_DISPOSITION</w:t>
      </w:r>
      <w:r>
        <w:t xml:space="preserve">, and (for Form A) </w:t>
      </w:r>
      <w:r>
        <w:rPr>
          <w:rFonts w:ascii="Courier New" w:hAnsi="Courier New"/>
          <w:sz w:val="18"/>
        </w:rPr>
        <w:t>EVENT_RESULT</w:t>
      </w:r>
      <w:r>
        <w:t xml:space="preserve"> all have the expected SCR attributes.</w:t>
      </w:r>
    </w:p>
    <w:p>
      <w:pPr>
        <w:pStyle w:val="ListNumber"/>
      </w:pPr>
      <w:r/>
      <w:r>
        <w:rPr>
          <w:b/>
        </w:rPr>
        <w:t>Run cleanup scripts</w:t>
      </w:r>
      <w:r>
        <w:t xml:space="preserve"> on a test environment first or with rollback on and review the </w:t>
      </w:r>
      <w:r>
        <w:rPr>
          <w:rFonts w:ascii="Courier New" w:hAnsi="Courier New"/>
          <w:sz w:val="18"/>
        </w:rPr>
        <w:t>flagged</w:t>
      </w:r>
      <w:r>
        <w:t xml:space="preserve"> output before running on production data or with rollback off.</w:t>
      </w:r>
    </w:p>
    <w:p>
      <w:pPr>
        <w:pStyle w:val="ListNumber"/>
      </w:pPr>
      <w:r/>
      <w:r>
        <w:rPr>
          <w:b/>
        </w:rPr>
        <w:t>Run the report for a prior period</w:t>
      </w:r>
      <w:r>
        <w:t xml:space="preserve"> with </w:t>
      </w:r>
      <w:r>
        <w:rPr>
          <w:rFonts w:ascii="Courier New" w:hAnsi="Courier New"/>
          <w:sz w:val="18"/>
        </w:rPr>
        <w:t>_caseDetails = "Show Case Details + Removed Cases"</w:t>
      </w:r>
      <w:r>
        <w:t xml:space="preserve"> to see which cases are included and why any are excluded. The removed-cases section shows the removal reason per case.</w:t>
      </w:r>
    </w:p>
    <w:p>
      <w:pPr>
        <w:pStyle w:val="ListNumber"/>
      </w:pPr>
      <w:r/>
      <w:r>
        <w:rPr>
          <w:b/>
        </w:rPr>
        <w:t>Spot-check counts</w:t>
      </w:r>
      <w:r>
        <w:t xml:space="preserve"> — use the </w:t>
      </w:r>
      <w:r>
        <w:rPr>
          <w:rFonts w:ascii="Courier New" w:hAnsi="Courier New"/>
          <w:sz w:val="18"/>
        </w:rPr>
        <w:t>_columns</w:t>
      </w:r>
      <w:r>
        <w:t xml:space="preserve"> and </w:t>
      </w:r>
      <w:r>
        <w:rPr>
          <w:rFonts w:ascii="Courier New" w:hAnsi="Courier New"/>
          <w:sz w:val="18"/>
        </w:rPr>
        <w:t>_rows</w:t>
      </w:r>
      <w:r>
        <w:t xml:space="preserve"> parameters to isolate a single row, column, or cell, then manually count matching CaseDispositions in eCourt to verify.</w:t>
      </w:r>
    </w:p>
    <w:p>
      <w:pPr>
        <w:pStyle w:val="ListNumber"/>
      </w:pPr>
      <w:r/>
      <w:r>
        <w:rPr>
          <w:b/>
        </w:rPr>
        <w:t>Test each form letter</w:t>
      </w:r>
      <w:r>
        <w:t xml:space="preserve"> (A, B, AJ, IJ) for each judge before go-live. Form B uses </w:t>
      </w:r>
      <w:r>
        <w:rPr>
          <w:rFonts w:ascii="Courier New" w:hAnsi="Courier New"/>
          <w:sz w:val="18"/>
        </w:rPr>
        <w:t>dispositionSource</w:t>
      </w:r>
      <w:r>
        <w:t xml:space="preserve"> (action code) to get the report column rather than </w:t>
      </w:r>
      <w:r>
        <w:rPr>
          <w:rFonts w:ascii="Courier New" w:hAnsi="Courier New"/>
          <w:sz w:val="18"/>
        </w:rPr>
        <w:t>subCaseType</w:t>
      </w:r>
      <w:r>
        <w:t xml:space="preserve"> — confirm the </w:t>
      </w:r>
      <w:r>
        <w:rPr>
          <w:rFonts w:ascii="Courier New" w:hAnsi="Courier New"/>
          <w:sz w:val="18"/>
        </w:rPr>
        <w:t>SUB_CASE_TYPE</w:t>
      </w:r>
      <w:r>
        <w:t xml:space="preserve"> mapping is correct and contains all dispositionSource values (action codes).</w:t>
      </w:r>
    </w:p>
    <w:p>
      <w:pPr>
        <w:pStyle w:val="Heading2"/>
      </w:pPr>
      <w:r>
        <w:t>Form C — Common Pleas, Probate Division</w:t>
      </w:r>
    </w:p>
    <w:p>
      <w:r>
        <w:t>Form C has a fundamentally different architecture from the other forms. It runs a direct SQL query against Probate case data and has no dependency on lookup list attributes, CaseDispositions, or the auto-disposition workflow. Row placement is hardcoded in the SQL.</w:t>
      </w:r>
    </w:p>
    <w:p>
      <w:pPr>
        <w:pStyle w:val="Heading3"/>
      </w:pPr>
      <w:r>
        <w:t>Key Differences from Forms A/B/AJ/IJ</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Reporting period</w:t>
            </w:r>
          </w:p>
        </w:tc>
        <w:tc>
          <w:tcPr>
            <w:tcW w:type="dxa" w:w="2880"/>
          </w:tcPr>
          <w:p>
            <w:r>
              <w:rPr>
                <w:b/>
              </w:rPr>
            </w:r>
            <w:r>
              <w:rPr>
                <w:b/>
              </w:rPr>
              <w:t>Monthly</w:t>
            </w:r>
          </w:p>
        </w:tc>
        <w:tc>
          <w:tcPr>
            <w:tcW w:type="dxa" w:w="2880"/>
          </w:tcPr>
          <w:p>
            <w:r>
              <w:rPr>
                <w:b/>
              </w:rPr>
            </w:r>
            <w:r>
              <w:rPr>
                <w:b/>
              </w:rPr>
              <w:t>Quarterly</w:t>
            </w:r>
          </w:p>
        </w:tc>
      </w:tr>
      <w:tr>
        <w:tc>
          <w:tcPr>
            <w:tcW w:type="dxa" w:w="2880"/>
          </w:tcPr>
          <w:p>
            <w:r/>
            <w:r>
              <w:t>Judge selection</w:t>
            </w:r>
          </w:p>
        </w:tc>
        <w:tc>
          <w:tcPr>
            <w:tcW w:type="dxa" w:w="2880"/>
          </w:tcPr>
          <w:p>
            <w:r/>
            <w:r>
              <w:t>Per-judge selector</w:t>
            </w:r>
          </w:p>
        </w:tc>
        <w:tc>
          <w:tcPr>
            <w:tcW w:type="dxa" w:w="2880"/>
          </w:tcPr>
          <w:p>
            <w:r/>
            <w:r>
              <w:t>All Probate cases (no judge input)</w:t>
            </w:r>
          </w:p>
        </w:tc>
      </w:tr>
      <w:tr>
        <w:tc>
          <w:tcPr>
            <w:tcW w:type="dxa" w:w="2880"/>
          </w:tcPr>
          <w:p>
            <w:r/>
            <w:r>
              <w:t>Data source</w:t>
            </w:r>
          </w:p>
        </w:tc>
        <w:tc>
          <w:tcPr>
            <w:tcW w:type="dxa" w:w="2880"/>
          </w:tcPr>
          <w:p>
            <w:r/>
            <w:r>
              <w:t>eCourt domain objects (</w:t>
            </w:r>
            <w:r>
              <w:rPr>
                <w:rFonts w:ascii="Courier New" w:hAnsi="Courier New"/>
                <w:sz w:val="18"/>
              </w:rPr>
              <w:t>CaseDisposition</w:t>
            </w:r>
            <w:r>
              <w:t>)</w:t>
            </w:r>
          </w:p>
        </w:tc>
        <w:tc>
          <w:tcPr>
            <w:tcW w:type="dxa" w:w="2880"/>
          </w:tcPr>
          <w:p>
            <w:r/>
            <w:r>
              <w:t>Direct SQL (</w:t>
            </w:r>
            <w:r>
              <w:rPr>
                <w:rFonts w:ascii="Courier New" w:hAnsi="Courier New"/>
                <w:sz w:val="18"/>
              </w:rPr>
              <w:t>tCase</w:t>
            </w:r>
            <w:r>
              <w:t xml:space="preserve"> and related tables)</w:t>
            </w:r>
          </w:p>
        </w:tc>
      </w:tr>
      <w:tr>
        <w:tc>
          <w:tcPr>
            <w:tcW w:type="dxa" w:w="2880"/>
          </w:tcPr>
          <w:p>
            <w:r/>
            <w:r>
              <w:t>Row/column mapping</w:t>
            </w:r>
          </w:p>
        </w:tc>
        <w:tc>
          <w:tcPr>
            <w:tcW w:type="dxa" w:w="2880"/>
          </w:tcPr>
          <w:p>
            <w:r/>
            <w:r>
              <w:t>Lookup list attributes</w:t>
            </w:r>
          </w:p>
        </w:tc>
        <w:tc>
          <w:tcPr>
            <w:tcW w:type="dxa" w:w="2880"/>
          </w:tcPr>
          <w:p>
            <w:r/>
            <w:r>
              <w:t xml:space="preserve">Hardcoded in SQL </w:t>
            </w:r>
            <w:r>
              <w:rPr>
                <w:rFonts w:ascii="Courier New" w:hAnsi="Courier New"/>
                <w:sz w:val="18"/>
              </w:rPr>
              <w:t>CASE</w:t>
            </w:r>
            <w:r>
              <w:t xml:space="preserve"> statements</w:t>
            </w:r>
          </w:p>
        </w:tc>
      </w:tr>
      <w:tr>
        <w:tc>
          <w:tcPr>
            <w:tcW w:type="dxa" w:w="2880"/>
          </w:tcPr>
          <w:p>
            <w:r/>
            <w:r>
              <w:t>Cleanup scripts required</w:t>
            </w:r>
          </w:p>
        </w:tc>
        <w:tc>
          <w:tcPr>
            <w:tcW w:type="dxa" w:w="2880"/>
          </w:tcPr>
          <w:p>
            <w:r/>
            <w:r>
              <w:t>Yes</w:t>
            </w:r>
          </w:p>
        </w:tc>
        <w:tc>
          <w:tcPr>
            <w:tcW w:type="dxa" w:w="2880"/>
          </w:tcPr>
          <w:p>
            <w:r/>
            <w:r>
              <w:t>No</w:t>
            </w:r>
          </w:p>
        </w:tc>
      </w:tr>
      <w:tr>
        <w:tc>
          <w:tcPr>
            <w:tcW w:type="dxa" w:w="2880"/>
          </w:tcPr>
          <w:p>
            <w:r/>
            <w:r>
              <w:t>Lookup list config required</w:t>
            </w:r>
          </w:p>
        </w:tc>
        <w:tc>
          <w:tcPr>
            <w:tcW w:type="dxa" w:w="2880"/>
          </w:tcPr>
          <w:p>
            <w:r/>
            <w:r>
              <w:t>Yes</w:t>
            </w:r>
          </w:p>
        </w:tc>
        <w:tc>
          <w:tcPr>
            <w:tcW w:type="dxa" w:w="2880"/>
          </w:tcPr>
          <w:p>
            <w:r/>
            <w:r>
              <w:t>No</w:t>
            </w:r>
          </w:p>
        </w:tc>
      </w:tr>
    </w:tbl>
    <w:p/>
    <w:p>
      <w:pPr>
        <w:pStyle w:val="Heading3"/>
      </w:pPr>
      <w:r>
        <w:t>Deploy the Business Rule</w:t>
      </w:r>
    </w:p>
    <w:p>
      <w:r>
        <w:t xml:space="preserve">Deploy </w:t>
      </w:r>
      <w:r>
        <w:rPr>
          <w:rFonts w:ascii="Courier New" w:hAnsi="Courier New"/>
          <w:sz w:val="18"/>
        </w:rPr>
        <w:t>SUPREME_COURT_REPORT_C</w:t>
      </w:r>
      <w:r>
        <w:t xml:space="preserve"> (from </w:t>
      </w:r>
      <w:r>
        <w:rPr>
          <w:rFonts w:ascii="Courier New" w:hAnsi="Courier New"/>
          <w:sz w:val="18"/>
        </w:rPr>
        <w:t>Form_C_Groovy.groovy</w:t>
      </w:r>
      <w:r>
        <w:t xml:space="preserve">) as a </w:t>
      </w:r>
      <w:r>
        <w:rPr>
          <w:b/>
        </w:rPr>
        <w:t>Datasource</w:t>
      </w:r>
      <w:r>
        <w:t xml:space="preserve"> business rule.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t>Report Code</w:t>
            </w:r>
          </w:p>
        </w:tc>
        <w:tc>
          <w:tcPr>
            <w:tcW w:type="dxa" w:w="4320"/>
          </w:tcPr>
          <w:p>
            <w:r/>
            <w:r/>
            <w:r>
              <w:rPr>
                <w:rFonts w:ascii="Courier New" w:hAnsi="Courier New"/>
                <w:sz w:val="18"/>
              </w:rPr>
              <w:t>SUPREME_COURT_REPORT_C</w:t>
            </w:r>
            <w:r/>
          </w:p>
        </w:tc>
      </w:tr>
      <w:tr>
        <w:tc>
          <w:tcPr>
            <w:tcW w:type="dxa" w:w="4320"/>
          </w:tcPr>
          <w:p>
            <w:r/>
            <w:r>
              <w:t>Report Name</w:t>
            </w:r>
          </w:p>
        </w:tc>
        <w:tc>
          <w:tcPr>
            <w:tcW w:type="dxa" w:w="4320"/>
          </w:tcPr>
          <w:p>
            <w:r/>
            <w:r>
              <w:t>Supreme Court Report — Form C</w:t>
            </w:r>
          </w:p>
        </w:tc>
      </w:tr>
      <w:tr>
        <w:tc>
          <w:tcPr>
            <w:tcW w:type="dxa" w:w="4320"/>
          </w:tcPr>
          <w:p>
            <w:r/>
            <w:r>
              <w:t>Report Style</w:t>
            </w:r>
          </w:p>
        </w:tc>
        <w:tc>
          <w:tcPr>
            <w:tcW w:type="dxa" w:w="4320"/>
          </w:tcPr>
          <w:p>
            <w:r/>
            <w:r>
              <w:t>Headless</w:t>
            </w:r>
          </w:p>
        </w:tc>
      </w:tr>
      <w:tr>
        <w:tc>
          <w:tcPr>
            <w:tcW w:type="dxa" w:w="4320"/>
          </w:tcPr>
          <w:p>
            <w:r/>
            <w:r>
              <w:t>Root Entity</w:t>
            </w:r>
          </w:p>
        </w:tc>
        <w:tc>
          <w:tcPr>
            <w:tcW w:type="dxa" w:w="4320"/>
          </w:tcPr>
          <w:p>
            <w:r/>
            <w:r>
              <w:t>*(SQL-based — no root entity)*</w:t>
            </w:r>
          </w:p>
        </w:tc>
      </w:tr>
      <w:tr>
        <w:tc>
          <w:tcPr>
            <w:tcW w:type="dxa" w:w="4320"/>
          </w:tcPr>
          <w:p>
            <w:r/>
            <w:r>
              <w:t>Formats</w:t>
            </w:r>
          </w:p>
        </w:tc>
        <w:tc>
          <w:tcPr>
            <w:tcW w:type="dxa" w:w="4320"/>
          </w:tcPr>
          <w:p>
            <w:r/>
            <w:r>
              <w:t>PDF, XLS</w:t>
            </w:r>
          </w:p>
        </w:tc>
      </w:tr>
    </w:tbl>
    <w:p/>
    <w:p>
      <w:pPr>
        <w:pStyle w:val="Heading3"/>
      </w:pPr>
      <w:r>
        <w:t>Input Parameters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Parameter</w:t>
            </w:r>
          </w:p>
        </w:tc>
        <w:tc>
          <w:tcPr>
            <w:tcW w:type="dxa" w:w="960"/>
          </w:tcPr>
          <w:p>
            <w:r>
              <w:rPr>
                <w:b/>
              </w:rPr>
            </w:r>
            <w:r>
              <w:rPr>
                <w:b/>
              </w:rPr>
              <w:t>Data Type</w:t>
            </w:r>
          </w:p>
        </w:tc>
        <w:tc>
          <w:tcPr>
            <w:tcW w:type="dxa" w:w="960"/>
          </w:tcPr>
          <w:p>
            <w:r>
              <w:rPr>
                <w:b/>
              </w:rPr>
            </w:r>
            <w:r>
              <w:rPr>
                <w:b/>
              </w:rPr>
              <w:t>UI Type</w:t>
            </w:r>
          </w:p>
        </w:tc>
        <w:tc>
          <w:tcPr>
            <w:tcW w:type="dxa" w:w="960"/>
          </w:tcPr>
          <w:p>
            <w:r>
              <w:rPr>
                <w:b/>
              </w:rPr>
            </w:r>
            <w:r>
              <w:rPr>
                <w:b/>
              </w:rPr>
              <w:t>Method</w:t>
            </w:r>
          </w:p>
        </w:tc>
        <w:tc>
          <w:tcPr>
            <w:tcW w:type="dxa" w:w="960"/>
          </w:tcPr>
          <w:p>
            <w:r>
              <w:rPr>
                <w:b/>
              </w:rPr>
            </w:r>
            <w:r>
              <w:rPr>
                <w:b/>
              </w:rPr>
              <w:t>List Source</w:t>
            </w:r>
          </w:p>
        </w:tc>
        <w:tc>
          <w:tcPr>
            <w:tcW w:type="dxa" w:w="960"/>
          </w:tcPr>
          <w:p>
            <w:r>
              <w:rPr>
                <w:b/>
              </w:rPr>
            </w:r>
            <w:r>
              <w:rPr>
                <w:b/>
              </w:rPr>
              <w:t>Default</w:t>
            </w:r>
          </w:p>
        </w:tc>
        <w:tc>
          <w:tcPr>
            <w:tcW w:type="dxa" w:w="960"/>
          </w:tcPr>
          <w:p>
            <w:r>
              <w:rPr>
                <w:b/>
              </w:rPr>
            </w:r>
            <w:r>
              <w:rPr>
                <w:b/>
              </w:rPr>
              <w:t>Hidden</w:t>
            </w:r>
          </w:p>
        </w:tc>
        <w:tc>
          <w:tcPr>
            <w:tcW w:type="dxa" w:w="960"/>
          </w:tcPr>
          <w:p>
            <w:r>
              <w:rPr>
                <w:b/>
              </w:rPr>
            </w:r>
            <w:r>
              <w:rPr>
                <w:b/>
              </w:rPr>
              <w:t>Required</w:t>
            </w:r>
          </w:p>
        </w:tc>
        <w:tc>
          <w:tcPr>
            <w:tcW w:type="dxa" w:w="960"/>
          </w:tcPr>
          <w:p>
            <w:r>
              <w:rPr>
                <w:b/>
              </w:rPr>
            </w:r>
            <w:r>
              <w:rPr>
                <w:b/>
              </w:rPr>
              <w:t>Notes</w:t>
            </w:r>
          </w:p>
        </w:tc>
      </w:tr>
      <w:tr>
        <w:tc>
          <w:tcPr>
            <w:tcW w:type="dxa" w:w="960"/>
          </w:tcPr>
          <w:p>
            <w:r/>
            <w:r/>
            <w:r>
              <w:rPr>
                <w:rFonts w:ascii="Courier New" w:hAnsi="Courier New"/>
                <w:sz w:val="18"/>
              </w:rPr>
              <w:t>reportYear</w:t>
            </w:r>
            <w:r/>
          </w:p>
        </w:tc>
        <w:tc>
          <w:tcPr>
            <w:tcW w:type="dxa" w:w="960"/>
          </w:tcPr>
          <w:p>
            <w:r/>
            <w:r>
              <w:t>Integer</w:t>
            </w:r>
          </w:p>
        </w:tc>
        <w:tc>
          <w:tcPr>
            <w:tcW w:type="dxa" w:w="960"/>
          </w:tcPr>
          <w:p>
            <w:r/>
            <w:r>
              <w:t>Dropdown</w:t>
            </w:r>
          </w:p>
        </w:tc>
        <w:tc>
          <w:tcPr>
            <w:tcW w:type="dxa" w:w="960"/>
          </w:tcPr>
          <w:p>
            <w:r/>
            <w:r>
              <w:t>Query</w:t>
            </w:r>
          </w:p>
        </w:tc>
        <w:tc>
          <w:tcPr>
            <w:tcW w:type="dxa" w:w="960"/>
          </w:tcPr>
          <w:p>
            <w:r/>
            <w:r>
              <w:t>¹</w:t>
            </w:r>
          </w:p>
        </w:tc>
        <w:tc>
          <w:tcPr>
            <w:tcW w:type="dxa" w:w="960"/>
          </w:tcPr>
          <w:p>
            <w:r/>
            <w:r>
              <w:t>—</w:t>
            </w:r>
          </w:p>
        </w:tc>
        <w:tc>
          <w:tcPr>
            <w:tcW w:type="dxa" w:w="960"/>
          </w:tcPr>
          <w:p>
            <w:r/>
            <w:r>
              <w:t>No</w:t>
            </w:r>
          </w:p>
        </w:tc>
        <w:tc>
          <w:tcPr>
            <w:tcW w:type="dxa" w:w="960"/>
          </w:tcPr>
          <w:p>
            <w:r/>
            <w:r>
              <w:t>Yes</w:t>
            </w:r>
          </w:p>
        </w:tc>
        <w:tc>
          <w:tcPr>
            <w:tcW w:type="dxa" w:w="960"/>
          </w:tcPr>
          <w:p>
            <w:r/>
            <w:r/>
          </w:p>
        </w:tc>
      </w:tr>
      <w:tr>
        <w:tc>
          <w:tcPr>
            <w:tcW w:type="dxa" w:w="960"/>
          </w:tcPr>
          <w:p>
            <w:r/>
            <w:r/>
            <w:r>
              <w:rPr>
                <w:rFonts w:ascii="Courier New" w:hAnsi="Courier New"/>
                <w:sz w:val="18"/>
              </w:rPr>
              <w:t>reportQuarter</w:t>
            </w:r>
            <w:r/>
          </w:p>
        </w:tc>
        <w:tc>
          <w:tcPr>
            <w:tcW w:type="dxa" w:w="960"/>
          </w:tcPr>
          <w:p>
            <w:r/>
            <w:r>
              <w:t>Integer</w:t>
            </w:r>
          </w:p>
        </w:tc>
        <w:tc>
          <w:tcPr>
            <w:tcW w:type="dxa" w:w="960"/>
          </w:tcPr>
          <w:p>
            <w:r/>
            <w:r>
              <w:t>Dropdown</w:t>
            </w:r>
          </w:p>
        </w:tc>
        <w:tc>
          <w:tcPr>
            <w:tcW w:type="dxa" w:w="960"/>
          </w:tcPr>
          <w:p>
            <w:r/>
            <w:r>
              <w:t>User Input List</w:t>
            </w:r>
          </w:p>
        </w:tc>
        <w:tc>
          <w:tcPr>
            <w:tcW w:type="dxa" w:w="960"/>
          </w:tcPr>
          <w:p>
            <w:r/>
            <w:r/>
            <w:r>
              <w:rPr>
                <w:rFonts w:ascii="Courier New" w:hAnsi="Courier New"/>
                <w:sz w:val="18"/>
              </w:rPr>
              <w:t>1,2,3,4</w:t>
            </w:r>
            <w:r/>
          </w:p>
        </w:tc>
        <w:tc>
          <w:tcPr>
            <w:tcW w:type="dxa" w:w="960"/>
          </w:tcPr>
          <w:p>
            <w:r/>
            <w:r>
              <w:t>—</w:t>
            </w:r>
          </w:p>
        </w:tc>
        <w:tc>
          <w:tcPr>
            <w:tcW w:type="dxa" w:w="960"/>
          </w:tcPr>
          <w:p>
            <w:r/>
            <w:r>
              <w:t>No</w:t>
            </w:r>
          </w:p>
        </w:tc>
        <w:tc>
          <w:tcPr>
            <w:tcW w:type="dxa" w:w="960"/>
          </w:tcPr>
          <w:p>
            <w:r/>
            <w:r>
              <w:t>Yes</w:t>
            </w:r>
          </w:p>
        </w:tc>
        <w:tc>
          <w:tcPr>
            <w:tcW w:type="dxa" w:w="960"/>
          </w:tcPr>
          <w:p>
            <w:r/>
            <w:r/>
          </w:p>
        </w:tc>
      </w:tr>
      <w:tr>
        <w:tc>
          <w:tcPr>
            <w:tcW w:type="dxa" w:w="960"/>
          </w:tcPr>
          <w:p>
            <w:r/>
            <w:r/>
            <w:r>
              <w:rPr>
                <w:rFonts w:ascii="Courier New" w:hAnsi="Courier New"/>
                <w:sz w:val="18"/>
              </w:rPr>
              <w:t>caseDetails</w:t>
            </w:r>
            <w:r/>
          </w:p>
        </w:tc>
        <w:tc>
          <w:tcPr>
            <w:tcW w:type="dxa" w:w="960"/>
          </w:tcPr>
          <w:p>
            <w:r/>
            <w:r>
              <w:t>Boolean</w:t>
            </w:r>
          </w:p>
        </w:tc>
        <w:tc>
          <w:tcPr>
            <w:tcW w:type="dxa" w:w="960"/>
          </w:tcPr>
          <w:p>
            <w:r/>
            <w:r>
              <w:t>Boolean Dropdown</w:t>
            </w:r>
          </w:p>
        </w:tc>
        <w:tc>
          <w:tcPr>
            <w:tcW w:type="dxa" w:w="960"/>
          </w:tcPr>
          <w:p>
            <w:r/>
            <w:r>
              <w:t>Boolean List</w:t>
            </w:r>
          </w:p>
        </w:tc>
        <w:tc>
          <w:tcPr>
            <w:tcW w:type="dxa" w:w="960"/>
          </w:tcPr>
          <w:p>
            <w:r/>
            <w:r>
              <w:t>²</w:t>
            </w:r>
          </w:p>
        </w:tc>
        <w:tc>
          <w:tcPr>
            <w:tcW w:type="dxa" w:w="960"/>
          </w:tcPr>
          <w:p>
            <w:r/>
            <w:r/>
            <w:r>
              <w:rPr>
                <w:rFonts w:ascii="Courier New" w:hAnsi="Courier New"/>
                <w:sz w:val="18"/>
              </w:rPr>
              <w:t>Hide Case Details</w:t>
            </w:r>
            <w:r/>
          </w:p>
        </w:tc>
        <w:tc>
          <w:tcPr>
            <w:tcW w:type="dxa" w:w="960"/>
          </w:tcPr>
          <w:p>
            <w:r/>
            <w:r>
              <w:t>No</w:t>
            </w:r>
          </w:p>
        </w:tc>
        <w:tc>
          <w:tcPr>
            <w:tcW w:type="dxa" w:w="960"/>
          </w:tcPr>
          <w:p>
            <w:r/>
            <w:r>
              <w:t>Yes</w:t>
            </w:r>
          </w:p>
        </w:tc>
        <w:tc>
          <w:tcPr>
            <w:tcW w:type="dxa" w:w="960"/>
          </w:tcPr>
          <w:p>
            <w:r/>
            <w:r/>
          </w:p>
        </w:tc>
      </w:tr>
      <w:tr>
        <w:tc>
          <w:tcPr>
            <w:tcW w:type="dxa" w:w="960"/>
          </w:tcPr>
          <w:p>
            <w:r/>
            <w:r/>
            <w:r>
              <w:rPr>
                <w:rFonts w:ascii="Courier New" w:hAnsi="Courier New"/>
                <w:sz w:val="18"/>
              </w:rPr>
              <w:t>lastInventoryDate</w:t>
            </w:r>
            <w:r/>
          </w:p>
        </w:tc>
        <w:tc>
          <w:tcPr>
            <w:tcW w:type="dxa" w:w="960"/>
          </w:tcPr>
          <w:p>
            <w:r/>
            <w:r>
              <w:t>Date</w:t>
            </w:r>
          </w:p>
        </w:tc>
        <w:tc>
          <w:tcPr>
            <w:tcW w:type="dxa" w:w="960"/>
          </w:tcPr>
          <w:p>
            <w:r/>
            <w:r>
              <w:t>Date Picker</w:t>
            </w:r>
          </w:p>
        </w:tc>
        <w:tc>
          <w:tcPr>
            <w:tcW w:type="dxa" w:w="960"/>
          </w:tcPr>
          <w:p>
            <w:r/>
            <w:r>
              <w:t>—</w:t>
            </w:r>
          </w:p>
        </w:tc>
        <w:tc>
          <w:tcPr>
            <w:tcW w:type="dxa" w:w="960"/>
          </w:tcPr>
          <w:p>
            <w:r/>
            <w:r>
              <w:t>—</w:t>
            </w:r>
          </w:p>
        </w:tc>
        <w:tc>
          <w:tcPr>
            <w:tcW w:type="dxa" w:w="960"/>
          </w:tcPr>
          <w:p>
            <w:r/>
            <w:r>
              <w:t>—</w:t>
            </w:r>
          </w:p>
        </w:tc>
        <w:tc>
          <w:tcPr>
            <w:tcW w:type="dxa" w:w="960"/>
          </w:tcPr>
          <w:p>
            <w:r/>
            <w:r>
              <w:t>No</w:t>
            </w:r>
          </w:p>
        </w:tc>
        <w:tc>
          <w:tcPr>
            <w:tcW w:type="dxa" w:w="960"/>
          </w:tcPr>
          <w:p>
            <w:r/>
            <w:r>
              <w:t>No</w:t>
            </w:r>
          </w:p>
        </w:tc>
        <w:tc>
          <w:tcPr>
            <w:tcW w:type="dxa" w:w="960"/>
          </w:tcPr>
          <w:p>
            <w:r/>
            <w:r>
              <w:t>Passes value directly into report header</w:t>
            </w:r>
          </w:p>
        </w:tc>
      </w:tr>
      <w:tr>
        <w:tc>
          <w:tcPr>
            <w:tcW w:type="dxa" w:w="960"/>
          </w:tcPr>
          <w:p>
            <w:r/>
            <w:r/>
            <w:r>
              <w:rPr>
                <w:rFonts w:ascii="Courier New" w:hAnsi="Courier New"/>
                <w:sz w:val="18"/>
              </w:rPr>
              <w:t>judgeName</w:t>
            </w:r>
            <w:r/>
          </w:p>
        </w:tc>
        <w:tc>
          <w:tcPr>
            <w:tcW w:type="dxa" w:w="960"/>
          </w:tcPr>
          <w:p>
            <w:r/>
            <w:r>
              <w:t>String</w:t>
            </w:r>
          </w:p>
        </w:tc>
        <w:tc>
          <w:tcPr>
            <w:tcW w:type="dxa" w:w="960"/>
          </w:tcPr>
          <w:p>
            <w:r/>
            <w:r>
              <w:t>Text Box</w:t>
            </w:r>
          </w:p>
        </w:tc>
        <w:tc>
          <w:tcPr>
            <w:tcW w:type="dxa" w:w="960"/>
          </w:tcPr>
          <w:p>
            <w:r/>
            <w:r>
              <w:t>—</w:t>
            </w:r>
          </w:p>
        </w:tc>
        <w:tc>
          <w:tcPr>
            <w:tcW w:type="dxa" w:w="960"/>
          </w:tcPr>
          <w:p>
            <w:r/>
            <w:r>
              <w:t>—</w:t>
            </w:r>
          </w:p>
        </w:tc>
        <w:tc>
          <w:tcPr>
            <w:tcW w:type="dxa" w:w="960"/>
          </w:tcPr>
          <w:p>
            <w:r/>
            <w:r/>
            <w:r>
              <w:rPr>
                <w:rFonts w:ascii="Courier New" w:hAnsi="Courier New"/>
                <w:sz w:val="18"/>
              </w:rPr>
              <w:t>David D. Brannon</w:t>
            </w:r>
            <w:r/>
          </w:p>
        </w:tc>
        <w:tc>
          <w:tcPr>
            <w:tcW w:type="dxa" w:w="960"/>
          </w:tcPr>
          <w:p>
            <w:r/>
            <w:r>
              <w:t>Yes</w:t>
            </w:r>
          </w:p>
        </w:tc>
        <w:tc>
          <w:tcPr>
            <w:tcW w:type="dxa" w:w="960"/>
          </w:tcPr>
          <w:p>
            <w:r/>
            <w:r>
              <w:t>No</w:t>
            </w:r>
          </w:p>
        </w:tc>
        <w:tc>
          <w:tcPr>
            <w:tcW w:type="dxa" w:w="960"/>
          </w:tcPr>
          <w:p>
            <w:r/>
            <w:r>
              <w:t>Update if judge changes</w:t>
            </w:r>
          </w:p>
        </w:tc>
      </w:tr>
      <w:tr>
        <w:tc>
          <w:tcPr>
            <w:tcW w:type="dxa" w:w="960"/>
          </w:tcPr>
          <w:p>
            <w:r/>
            <w:r/>
            <w:r>
              <w:rPr>
                <w:rFonts w:ascii="Courier New" w:hAnsi="Courier New"/>
                <w:sz w:val="18"/>
              </w:rPr>
              <w:t>judgeBarNumber</w:t>
            </w:r>
            <w:r/>
          </w:p>
        </w:tc>
        <w:tc>
          <w:tcPr>
            <w:tcW w:type="dxa" w:w="960"/>
          </w:tcPr>
          <w:p>
            <w:r/>
            <w:r>
              <w:t>String</w:t>
            </w:r>
          </w:p>
        </w:tc>
        <w:tc>
          <w:tcPr>
            <w:tcW w:type="dxa" w:w="960"/>
          </w:tcPr>
          <w:p>
            <w:r/>
            <w:r>
              <w:t>Text Box</w:t>
            </w:r>
          </w:p>
        </w:tc>
        <w:tc>
          <w:tcPr>
            <w:tcW w:type="dxa" w:w="960"/>
          </w:tcPr>
          <w:p>
            <w:r/>
            <w:r>
              <w:t>—</w:t>
            </w:r>
          </w:p>
        </w:tc>
        <w:tc>
          <w:tcPr>
            <w:tcW w:type="dxa" w:w="960"/>
          </w:tcPr>
          <w:p>
            <w:r/>
            <w:r>
              <w:t>—</w:t>
            </w:r>
          </w:p>
        </w:tc>
        <w:tc>
          <w:tcPr>
            <w:tcW w:type="dxa" w:w="960"/>
          </w:tcPr>
          <w:p>
            <w:r/>
            <w:r/>
            <w:r>
              <w:rPr>
                <w:rFonts w:ascii="Courier New" w:hAnsi="Courier New"/>
                <w:sz w:val="18"/>
              </w:rPr>
              <w:t>0079755</w:t>
            </w:r>
            <w:r/>
          </w:p>
        </w:tc>
        <w:tc>
          <w:tcPr>
            <w:tcW w:type="dxa" w:w="960"/>
          </w:tcPr>
          <w:p>
            <w:r/>
            <w:r>
              <w:t>Yes</w:t>
            </w:r>
          </w:p>
        </w:tc>
        <w:tc>
          <w:tcPr>
            <w:tcW w:type="dxa" w:w="960"/>
          </w:tcPr>
          <w:p>
            <w:r/>
            <w:r>
              <w:t>No</w:t>
            </w:r>
          </w:p>
        </w:tc>
        <w:tc>
          <w:tcPr>
            <w:tcW w:type="dxa" w:w="960"/>
          </w:tcPr>
          <w:p>
            <w:r/>
            <w:r>
              <w:t>Update if judge changes</w:t>
            </w:r>
          </w:p>
        </w:tc>
      </w:tr>
      <w:tr>
        <w:tc>
          <w:tcPr>
            <w:tcW w:type="dxa" w:w="960"/>
          </w:tcPr>
          <w:p>
            <w:r/>
            <w:r/>
            <w:r>
              <w:rPr>
                <w:rFonts w:ascii="Courier New" w:hAnsi="Courier New"/>
                <w:sz w:val="18"/>
              </w:rPr>
              <w:t>notificationEmail</w:t>
            </w:r>
            <w:r/>
          </w:p>
        </w:tc>
        <w:tc>
          <w:tcPr>
            <w:tcW w:type="dxa" w:w="960"/>
          </w:tcPr>
          <w:p>
            <w:r/>
            <w:r>
              <w:t>String</w:t>
            </w:r>
          </w:p>
        </w:tc>
        <w:tc>
          <w:tcPr>
            <w:tcW w:type="dxa" w:w="960"/>
          </w:tcPr>
          <w:p>
            <w:r/>
            <w:r>
              <w:t>Dropdown</w:t>
            </w:r>
          </w:p>
        </w:tc>
        <w:tc>
          <w:tcPr>
            <w:tcW w:type="dxa" w:w="960"/>
          </w:tcPr>
          <w:p>
            <w:r/>
            <w:r>
              <w:t>Query</w:t>
            </w:r>
          </w:p>
        </w:tc>
        <w:tc>
          <w:tcPr>
            <w:tcW w:type="dxa" w:w="960"/>
          </w:tcPr>
          <w:p>
            <w:r/>
            <w:r>
              <w:t>³</w:t>
            </w:r>
          </w:p>
        </w:tc>
        <w:tc>
          <w:tcPr>
            <w:tcW w:type="dxa" w:w="960"/>
          </w:tcPr>
          <w:p>
            <w:r/>
            <w:r/>
            <w:r>
              <w:rPr>
                <w:rFonts w:ascii="Courier New" w:hAnsi="Courier New"/>
                <w:sz w:val="18"/>
              </w:rPr>
              <w:t>weikertm@mcohio.org</w:t>
            </w:r>
            <w:r/>
          </w:p>
        </w:tc>
        <w:tc>
          <w:tcPr>
            <w:tcW w:type="dxa" w:w="960"/>
          </w:tcPr>
          <w:p>
            <w:r/>
            <w:r>
              <w:t>Yes</w:t>
            </w:r>
          </w:p>
        </w:tc>
        <w:tc>
          <w:tcPr>
            <w:tcW w:type="dxa" w:w="960"/>
          </w:tcPr>
          <w:p>
            <w:r/>
            <w:r>
              <w:t>No</w:t>
            </w:r>
          </w:p>
        </w:tc>
        <w:tc>
          <w:tcPr>
            <w:tcW w:type="dxa" w:w="960"/>
          </w:tcPr>
          <w:p>
            <w:r/>
            <w:r/>
          </w:p>
        </w:tc>
      </w:tr>
      <w:tr>
        <w:tc>
          <w:tcPr>
            <w:tcW w:type="dxa" w:w="960"/>
          </w:tcPr>
          <w:p>
            <w:r/>
            <w:r/>
            <w:r>
              <w:rPr>
                <w:rFonts w:ascii="Courier New" w:hAnsi="Courier New"/>
                <w:sz w:val="18"/>
              </w:rPr>
              <w:t>jurisdiction</w:t>
            </w:r>
            <w:r/>
          </w:p>
        </w:tc>
        <w:tc>
          <w:tcPr>
            <w:tcW w:type="dxa" w:w="960"/>
          </w:tcPr>
          <w:p>
            <w:r/>
            <w:r>
              <w:t>String</w:t>
            </w:r>
          </w:p>
        </w:tc>
        <w:tc>
          <w:tcPr>
            <w:tcW w:type="dxa" w:w="960"/>
          </w:tcPr>
          <w:p>
            <w:r/>
            <w:r>
              <w:t>Text Box</w:t>
            </w:r>
          </w:p>
        </w:tc>
        <w:tc>
          <w:tcPr>
            <w:tcW w:type="dxa" w:w="960"/>
          </w:tcPr>
          <w:p>
            <w:r/>
            <w:r>
              <w:t>—</w:t>
            </w:r>
          </w:p>
        </w:tc>
        <w:tc>
          <w:tcPr>
            <w:tcW w:type="dxa" w:w="960"/>
          </w:tcPr>
          <w:p>
            <w:r/>
            <w:r>
              <w:t>—</w:t>
            </w:r>
          </w:p>
        </w:tc>
        <w:tc>
          <w:tcPr>
            <w:tcW w:type="dxa" w:w="960"/>
          </w:tcPr>
          <w:p>
            <w:r/>
            <w:r/>
            <w:r>
              <w:rPr>
                <w:rFonts w:ascii="Courier New" w:hAnsi="Courier New"/>
                <w:sz w:val="18"/>
              </w:rPr>
              <w:t>Montgomery</w:t>
            </w:r>
            <w:r/>
          </w:p>
        </w:tc>
        <w:tc>
          <w:tcPr>
            <w:tcW w:type="dxa" w:w="960"/>
          </w:tcPr>
          <w:p>
            <w:r/>
            <w:r>
              <w:t>Yes</w:t>
            </w:r>
          </w:p>
        </w:tc>
        <w:tc>
          <w:tcPr>
            <w:tcW w:type="dxa" w:w="960"/>
          </w:tcPr>
          <w:p>
            <w:r/>
            <w:r>
              <w:t>No</w:t>
            </w:r>
          </w:p>
        </w:tc>
        <w:tc>
          <w:tcPr>
            <w:tcW w:type="dxa" w:w="960"/>
          </w:tcPr>
          <w:p>
            <w:r/>
            <w:r/>
          </w:p>
        </w:tc>
      </w:tr>
    </w:tbl>
    <w:p/>
    <w:p>
      <w:r>
        <w:t xml:space="preserve">The following parameters are calculated within the JRXML and do not require configuration: </w:t>
      </w:r>
      <w:r>
        <w:rPr>
          <w:rFonts w:ascii="Courier New" w:hAnsi="Courier New"/>
          <w:sz w:val="18"/>
        </w:rPr>
        <w:t>Judge_Code</w:t>
      </w:r>
      <w:r>
        <w:t xml:space="preserve">, </w:t>
      </w:r>
      <w:r>
        <w:rPr>
          <w:rFonts w:ascii="Courier New" w:hAnsi="Courier New"/>
          <w:sz w:val="18"/>
        </w:rPr>
        <w:t>reportBegin</w:t>
      </w:r>
      <w:r>
        <w:t xml:space="preserve">, </w:t>
      </w:r>
      <w:r>
        <w:rPr>
          <w:rFonts w:ascii="Courier New" w:hAnsi="Courier New"/>
          <w:sz w:val="18"/>
        </w:rPr>
        <w:t>reportEnd</w:t>
      </w:r>
      <w:r>
        <w:t xml:space="preserve">, </w:t>
      </w:r>
      <w:r>
        <w:rPr>
          <w:rFonts w:ascii="Courier New" w:hAnsi="Courier New"/>
          <w:sz w:val="18"/>
        </w:rPr>
        <w:t>runDate</w:t>
      </w:r>
      <w:r>
        <w:t>.</w:t>
      </w:r>
    </w:p>
    <w:p>
      <w:pPr>
        <w:pStyle w:val="NoSpacing"/>
        <w:ind w:left="432"/>
      </w:pPr>
      <w:r>
        <w:t>There is no judge selector — Form C reports all Probate cases across the division. The cutoff date (</w:t>
      </w:r>
      <w:r>
        <w:rPr>
          <w:rFonts w:ascii="Courier New" w:hAnsi="Courier New"/>
          <w:sz w:val="18"/>
        </w:rPr>
        <w:t>01/01/2010</w:t>
      </w:r>
      <w:r>
        <w:t>) is hardcoded in the rule.</w:t>
      </w:r>
    </w:p>
    <w:p/>
    <w:p>
      <w:r/>
      <w:r>
        <w:rPr>
          <w:b/>
        </w:rPr>
        <w:t>¹ `reportYear` query:</w:t>
      </w:r>
      <w:r/>
    </w:p>
    <w:p>
      <w:pPr>
        <w:pStyle w:val="NoSpacing"/>
      </w:pPr>
      <w:r>
        <w:rPr>
          <w:rFonts w:ascii="Courier New" w:hAnsi="Courier New"/>
          <w:sz w:val="17"/>
        </w:rPr>
        <w:t xml:space="preserve">with yearlist as </w:t>
        <w:br/>
      </w:r>
      <w:r>
        <w:rPr>
          <w:rFonts w:ascii="Courier New" w:hAnsi="Courier New"/>
          <w:sz w:val="17"/>
        </w:rPr>
        <w:t xml:space="preserve">(select DATEPART(year, GETDATE())-99 as yr </w:t>
        <w:br/>
      </w:r>
      <w:r>
        <w:rPr>
          <w:rFonts w:ascii="Courier New" w:hAnsi="Courier New"/>
          <w:sz w:val="17"/>
        </w:rPr>
        <w:t xml:space="preserve">union all </w:t>
        <w:br/>
      </w:r>
      <w:r>
        <w:rPr>
          <w:rFonts w:ascii="Courier New" w:hAnsi="Courier New"/>
          <w:sz w:val="17"/>
        </w:rPr>
        <w:t xml:space="preserve">select yl.yr + 1 as yr </w:t>
        <w:br/>
      </w:r>
      <w:r>
        <w:rPr>
          <w:rFonts w:ascii="Courier New" w:hAnsi="Courier New"/>
          <w:sz w:val="17"/>
        </w:rPr>
        <w:t xml:space="preserve">from yearlist yl </w:t>
        <w:br/>
      </w:r>
      <w:r>
        <w:rPr>
          <w:rFonts w:ascii="Courier New" w:hAnsi="Courier New"/>
          <w:sz w:val="17"/>
        </w:rPr>
        <w:t>where yl.yr + 1 &lt;= DATEPART(year, GETDATE()))</w:t>
        <w:br/>
      </w:r>
      <w:r>
        <w:rPr>
          <w:rFonts w:ascii="Courier New" w:hAnsi="Courier New"/>
          <w:sz w:val="17"/>
        </w:rPr>
        <w:t>select yr from yearlist order by yr desc;</w:t>
        <w:br/>
      </w:r>
    </w:p>
    <w:p/>
    <w:p>
      <w:r/>
      <w:r>
        <w:rPr>
          <w:b/>
        </w:rPr>
        <w:t>² `caseDetails` boolean list:</w:t>
      </w:r>
      <w:r/>
    </w:p>
    <w:p>
      <w:pPr>
        <w:pStyle w:val="ListBullet"/>
      </w:pPr>
      <w:r/>
      <w:r>
        <w:rPr>
          <w:rFonts w:ascii="Courier New" w:hAnsi="Courier New"/>
          <w:sz w:val="18"/>
        </w:rPr>
        <w:t>True</w:t>
      </w:r>
      <w:r>
        <w:t xml:space="preserve"> = </w:t>
      </w:r>
      <w:r>
        <w:rPr>
          <w:rFonts w:ascii="Courier New" w:hAnsi="Courier New"/>
          <w:sz w:val="18"/>
        </w:rPr>
        <w:t>Show Case Details</w:t>
      </w:r>
      <w:r/>
    </w:p>
    <w:p>
      <w:pPr>
        <w:pStyle w:val="ListBullet"/>
      </w:pPr>
      <w:r/>
      <w:r>
        <w:rPr>
          <w:rFonts w:ascii="Courier New" w:hAnsi="Courier New"/>
          <w:sz w:val="18"/>
        </w:rPr>
        <w:t>False</w:t>
      </w:r>
      <w:r>
        <w:t xml:space="preserve"> = </w:t>
      </w:r>
      <w:r>
        <w:rPr>
          <w:rFonts w:ascii="Courier New" w:hAnsi="Courier New"/>
          <w:sz w:val="18"/>
        </w:rPr>
        <w:t>Hide Case Details</w:t>
      </w:r>
      <w:r/>
    </w:p>
    <w:p>
      <w:r/>
      <w:r>
        <w:rPr>
          <w:b/>
        </w:rPr>
        <w:t>³ `notificationEmail` query:</w:t>
      </w:r>
      <w:r/>
    </w:p>
    <w:p>
      <w:pPr>
        <w:pStyle w:val="NoSpacing"/>
      </w:pPr>
      <w:r>
        <w:rPr>
          <w:rFonts w:ascii="Courier New" w:hAnsi="Courier New"/>
          <w:sz w:val="17"/>
        </w:rPr>
        <w:t>select cast(value as varchar(255)) as notif</w:t>
        <w:br/>
      </w:r>
      <w:r>
        <w:rPr>
          <w:rFonts w:ascii="Courier New" w:hAnsi="Courier New"/>
          <w:sz w:val="17"/>
        </w:rPr>
        <w:t>from tSystemProperty</w:t>
        <w:br/>
      </w:r>
      <w:r>
        <w:rPr>
          <w:rFonts w:ascii="Courier New" w:hAnsi="Courier New"/>
          <w:sz w:val="17"/>
        </w:rPr>
        <w:t>where keyColumn = 'reports.form.c.notification.email'</w:t>
        <w:br/>
      </w:r>
    </w:p>
    <w:p/>
    <w:p>
      <w:pPr>
        <w:pStyle w:val="Heading3"/>
      </w:pPr>
      <w:r>
        <w:t>Deploy the JRXML</w:t>
      </w:r>
    </w:p>
    <w:p>
      <w:r>
        <w:t xml:space="preserve">Upload </w:t>
      </w:r>
      <w:r>
        <w:rPr>
          <w:rFonts w:ascii="Courier New" w:hAnsi="Courier New"/>
          <w:sz w:val="18"/>
        </w:rPr>
        <w:t>Form_C_Groovy.jrxml</w:t>
      </w:r>
      <w:r>
        <w:t xml:space="preserve"> and associate it with the </w:t>
      </w:r>
      <w:r>
        <w:rPr>
          <w:rFonts w:ascii="Courier New" w:hAnsi="Courier New"/>
          <w:sz w:val="18"/>
        </w:rPr>
        <w:t>SUPREME_COURT_REPORT_C</w:t>
      </w:r>
      <w:r>
        <w:t xml:space="preserve"> report code.</w:t>
      </w:r>
    </w:p>
    <w:p>
      <w:pPr>
        <w:pStyle w:val="Heading3"/>
      </w:pPr>
      <w:r>
        <w:t>Row Placement Logic</w:t>
      </w:r>
    </w:p>
    <w:p>
      <w:r>
        <w:t xml:space="preserve">Rows are assigned entirely within the SQL query. The main </w:t>
      </w:r>
      <w:r>
        <w:rPr>
          <w:rFonts w:ascii="Courier New" w:hAnsi="Courier New"/>
          <w:sz w:val="18"/>
        </w:rPr>
        <w:t>SELECT</w:t>
      </w:r>
      <w:r>
        <w:t xml:space="preserve"> places pending and newly-filed cases; two </w:t>
      </w:r>
      <w:r>
        <w:rPr>
          <w:rFonts w:ascii="Courier New" w:hAnsi="Courier New"/>
          <w:sz w:val="18"/>
        </w:rPr>
        <w:t>UNION ALL</w:t>
      </w:r>
      <w:r>
        <w:t xml:space="preserve"> blocks add termination rows for cases closed during the period (once from </w:t>
      </w:r>
      <w:r>
        <w:rPr>
          <w:rFonts w:ascii="Courier New" w:hAnsi="Courier New"/>
          <w:sz w:val="18"/>
        </w:rPr>
        <w:t>Run_Date_Case_Status</w:t>
      </w:r>
      <w:r>
        <w:t xml:space="preserve">, once from </w:t>
      </w:r>
      <w:r>
        <w:rPr>
          <w:rFonts w:ascii="Courier New" w:hAnsi="Courier New"/>
          <w:sz w:val="18"/>
        </w:rPr>
        <w:t>Ending_Case_Status</w:t>
      </w:r>
      <w:r>
        <w:t xml:space="preserve">). Cases that don't match any condition are assigned line </w:t>
      </w:r>
      <w:r>
        <w:rPr>
          <w:rFonts w:ascii="Courier New" w:hAnsi="Courier New"/>
          <w:sz w:val="18"/>
        </w:rPr>
        <w:t>990</w:t>
      </w:r>
      <w:r>
        <w:t>/</w:t>
      </w:r>
      <w:r>
        <w:rPr>
          <w:rFonts w:ascii="Courier New" w:hAnsi="Courier New"/>
          <w:sz w:val="18"/>
        </w:rPr>
        <w:t>991</w:t>
      </w:r>
      <w:r>
        <w:t>/</w:t>
      </w:r>
      <w:r>
        <w:rPr>
          <w:rFonts w:ascii="Courier New" w:hAnsi="Courier New"/>
          <w:sz w:val="18"/>
        </w:rPr>
        <w:t>992</w:t>
      </w:r>
      <w:r>
        <w:t xml:space="preserve"> and excluded from the printed report.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Case Category / Subcase Type</w:t>
            </w:r>
          </w:p>
        </w:tc>
        <w:tc>
          <w:tcPr>
            <w:tcW w:type="dxa" w:w="2160"/>
          </w:tcPr>
          <w:p>
            <w:r>
              <w:rPr>
                <w:b/>
              </w:rPr>
            </w:r>
            <w:r>
              <w:rPr>
                <w:b/>
              </w:rPr>
              <w:t>Pending (filed before period)</w:t>
            </w:r>
          </w:p>
        </w:tc>
        <w:tc>
          <w:tcPr>
            <w:tcW w:type="dxa" w:w="2160"/>
          </w:tcPr>
          <w:p>
            <w:r>
              <w:rPr>
                <w:b/>
              </w:rPr>
            </w:r>
            <w:r>
              <w:rPr>
                <w:b/>
              </w:rPr>
              <w:t>Filed in Period</w:t>
            </w:r>
          </w:p>
        </w:tc>
        <w:tc>
          <w:tcPr>
            <w:tcW w:type="dxa" w:w="2160"/>
          </w:tcPr>
          <w:p>
            <w:r>
              <w:rPr>
                <w:b/>
              </w:rPr>
            </w:r>
            <w:r>
              <w:rPr>
                <w:b/>
              </w:rPr>
              <w:t>Closed in Period</w:t>
            </w:r>
          </w:p>
        </w:tc>
      </w:tr>
      <w:tr>
        <w:tc>
          <w:tcPr>
            <w:tcW w:type="dxa" w:w="2160"/>
          </w:tcPr>
          <w:p>
            <w:r/>
            <w:r/>
            <w:r>
              <w:rPr>
                <w:rFonts w:ascii="Courier New" w:hAnsi="Courier New"/>
                <w:sz w:val="18"/>
              </w:rPr>
              <w:t>EST</w:t>
            </w:r>
            <w:r>
              <w:t xml:space="preserve"> + </w:t>
            </w:r>
            <w:r>
              <w:rPr>
                <w:rFonts w:ascii="Courier New" w:hAnsi="Courier New"/>
                <w:sz w:val="18"/>
              </w:rPr>
              <w:t>DEC</w:t>
            </w:r>
            <w:r>
              <w:t xml:space="preserve"> party</w:t>
            </w:r>
          </w:p>
        </w:tc>
        <w:tc>
          <w:tcPr>
            <w:tcW w:type="dxa" w:w="2160"/>
          </w:tcPr>
          <w:p>
            <w:r/>
            <w:r>
              <w:t>1</w:t>
            </w:r>
          </w:p>
        </w:tc>
        <w:tc>
          <w:tcPr>
            <w:tcW w:type="dxa" w:w="2160"/>
          </w:tcPr>
          <w:p>
            <w:r/>
            <w:r>
              <w:t>2</w:t>
            </w:r>
          </w:p>
        </w:tc>
        <w:tc>
          <w:tcPr>
            <w:tcW w:type="dxa" w:w="2160"/>
          </w:tcPr>
          <w:p>
            <w:r/>
            <w:r>
              <w:t>3</w:t>
            </w:r>
          </w:p>
        </w:tc>
      </w:tr>
      <w:tr>
        <w:tc>
          <w:tcPr>
            <w:tcW w:type="dxa" w:w="2160"/>
          </w:tcPr>
          <w:p>
            <w:r/>
            <w:r/>
            <w:r>
              <w:rPr>
                <w:rFonts w:ascii="Courier New" w:hAnsi="Courier New"/>
                <w:sz w:val="18"/>
              </w:rPr>
              <w:t>GRD2</w:t>
            </w:r>
            <w:r/>
          </w:p>
        </w:tc>
        <w:tc>
          <w:tcPr>
            <w:tcW w:type="dxa" w:w="2160"/>
          </w:tcPr>
          <w:p>
            <w:r/>
            <w:r>
              <w:t>7</w:t>
            </w:r>
          </w:p>
        </w:tc>
        <w:tc>
          <w:tcPr>
            <w:tcW w:type="dxa" w:w="2160"/>
          </w:tcPr>
          <w:p>
            <w:r/>
            <w:r>
              <w:t>8</w:t>
            </w:r>
          </w:p>
        </w:tc>
        <w:tc>
          <w:tcPr>
            <w:tcW w:type="dxa" w:w="2160"/>
          </w:tcPr>
          <w:p>
            <w:r/>
            <w:r>
              <w:t>9</w:t>
            </w:r>
          </w:p>
        </w:tc>
      </w:tr>
      <w:tr>
        <w:tc>
          <w:tcPr>
            <w:tcW w:type="dxa" w:w="2160"/>
          </w:tcPr>
          <w:p>
            <w:r/>
            <w:r/>
            <w:r>
              <w:rPr>
                <w:rFonts w:ascii="Courier New" w:hAnsi="Courier New"/>
                <w:sz w:val="18"/>
              </w:rPr>
              <w:t>GRD1</w:t>
            </w:r>
            <w:r/>
          </w:p>
        </w:tc>
        <w:tc>
          <w:tcPr>
            <w:tcW w:type="dxa" w:w="2160"/>
          </w:tcPr>
          <w:p>
            <w:r/>
            <w:r>
              <w:t>11</w:t>
            </w:r>
          </w:p>
        </w:tc>
        <w:tc>
          <w:tcPr>
            <w:tcW w:type="dxa" w:w="2160"/>
          </w:tcPr>
          <w:p>
            <w:r/>
            <w:r>
              <w:t>12</w:t>
            </w:r>
          </w:p>
        </w:tc>
        <w:tc>
          <w:tcPr>
            <w:tcW w:type="dxa" w:w="2160"/>
          </w:tcPr>
          <w:p>
            <w:r/>
            <w:r>
              <w:t>13</w:t>
            </w:r>
          </w:p>
        </w:tc>
      </w:tr>
      <w:tr>
        <w:tc>
          <w:tcPr>
            <w:tcW w:type="dxa" w:w="2160"/>
          </w:tcPr>
          <w:p>
            <w:r/>
            <w:r/>
            <w:r>
              <w:rPr>
                <w:rFonts w:ascii="Courier New" w:hAnsi="Courier New"/>
                <w:sz w:val="18"/>
              </w:rPr>
              <w:t>GRD4/5/6</w:t>
            </w:r>
            <w:r/>
          </w:p>
        </w:tc>
        <w:tc>
          <w:tcPr>
            <w:tcW w:type="dxa" w:w="2160"/>
          </w:tcPr>
          <w:p>
            <w:r/>
            <w:r>
              <w:t>—</w:t>
            </w:r>
          </w:p>
        </w:tc>
        <w:tc>
          <w:tcPr>
            <w:tcW w:type="dxa" w:w="2160"/>
          </w:tcPr>
          <w:p>
            <w:r/>
            <w:r>
              <w:t>15</w:t>
            </w:r>
          </w:p>
        </w:tc>
        <w:tc>
          <w:tcPr>
            <w:tcW w:type="dxa" w:w="2160"/>
          </w:tcPr>
          <w:p>
            <w:r/>
            <w:r>
              <w:t>—</w:t>
            </w:r>
          </w:p>
        </w:tc>
      </w:tr>
      <w:tr>
        <w:tc>
          <w:tcPr>
            <w:tcW w:type="dxa" w:w="2160"/>
          </w:tcPr>
          <w:p>
            <w:r/>
            <w:r/>
            <w:r>
              <w:rPr>
                <w:rFonts w:ascii="Courier New" w:hAnsi="Courier New"/>
                <w:sz w:val="18"/>
              </w:rPr>
              <w:t>GRD3</w:t>
            </w:r>
            <w:r/>
          </w:p>
        </w:tc>
        <w:tc>
          <w:tcPr>
            <w:tcW w:type="dxa" w:w="2160"/>
          </w:tcPr>
          <w:p>
            <w:r/>
            <w:r>
              <w:t>16</w:t>
            </w:r>
          </w:p>
        </w:tc>
        <w:tc>
          <w:tcPr>
            <w:tcW w:type="dxa" w:w="2160"/>
          </w:tcPr>
          <w:p>
            <w:r/>
            <w:r>
              <w:t>17</w:t>
            </w:r>
          </w:p>
        </w:tc>
        <w:tc>
          <w:tcPr>
            <w:tcW w:type="dxa" w:w="2160"/>
          </w:tcPr>
          <w:p>
            <w:r/>
            <w:r>
              <w:t>18</w:t>
            </w:r>
          </w:p>
        </w:tc>
      </w:tr>
      <w:tr>
        <w:tc>
          <w:tcPr>
            <w:tcW w:type="dxa" w:w="2160"/>
          </w:tcPr>
          <w:p>
            <w:r/>
            <w:r/>
            <w:r>
              <w:rPr>
                <w:rFonts w:ascii="Courier New" w:hAnsi="Courier New"/>
                <w:sz w:val="18"/>
              </w:rPr>
              <w:t>TRS1</w:t>
            </w:r>
            <w:r/>
          </w:p>
        </w:tc>
        <w:tc>
          <w:tcPr>
            <w:tcW w:type="dxa" w:w="2160"/>
          </w:tcPr>
          <w:p>
            <w:r/>
            <w:r>
              <w:t>20</w:t>
            </w:r>
          </w:p>
        </w:tc>
        <w:tc>
          <w:tcPr>
            <w:tcW w:type="dxa" w:w="2160"/>
          </w:tcPr>
          <w:p>
            <w:r/>
            <w:r>
              <w:t>21</w:t>
            </w:r>
          </w:p>
        </w:tc>
        <w:tc>
          <w:tcPr>
            <w:tcW w:type="dxa" w:w="2160"/>
          </w:tcPr>
          <w:p>
            <w:r/>
            <w:r>
              <w:t>22</w:t>
            </w:r>
          </w:p>
        </w:tc>
      </w:tr>
      <w:tr>
        <w:tc>
          <w:tcPr>
            <w:tcW w:type="dxa" w:w="2160"/>
          </w:tcPr>
          <w:p>
            <w:r/>
            <w:r/>
            <w:r>
              <w:rPr>
                <w:rFonts w:ascii="Courier New" w:hAnsi="Courier New"/>
                <w:sz w:val="18"/>
              </w:rPr>
              <w:t>MSC</w:t>
            </w:r>
            <w:r/>
          </w:p>
        </w:tc>
        <w:tc>
          <w:tcPr>
            <w:tcW w:type="dxa" w:w="2160"/>
          </w:tcPr>
          <w:p>
            <w:r/>
            <w:r>
              <w:t>26</w:t>
            </w:r>
          </w:p>
        </w:tc>
        <w:tc>
          <w:tcPr>
            <w:tcW w:type="dxa" w:w="2160"/>
          </w:tcPr>
          <w:p>
            <w:r/>
            <w:r>
              <w:t>27</w:t>
            </w:r>
          </w:p>
        </w:tc>
        <w:tc>
          <w:tcPr>
            <w:tcW w:type="dxa" w:w="2160"/>
          </w:tcPr>
          <w:p>
            <w:r/>
            <w:r>
              <w:t>28</w:t>
            </w:r>
          </w:p>
        </w:tc>
      </w:tr>
      <w:tr>
        <w:tc>
          <w:tcPr>
            <w:tcW w:type="dxa" w:w="2160"/>
          </w:tcPr>
          <w:p>
            <w:r/>
            <w:r/>
            <w:r>
              <w:rPr>
                <w:rFonts w:ascii="Courier New" w:hAnsi="Courier New"/>
                <w:sz w:val="18"/>
              </w:rPr>
              <w:t>ADP</w:t>
            </w:r>
            <w:r/>
          </w:p>
        </w:tc>
        <w:tc>
          <w:tcPr>
            <w:tcW w:type="dxa" w:w="2160"/>
          </w:tcPr>
          <w:p>
            <w:r/>
            <w:r>
              <w:t>30</w:t>
            </w:r>
          </w:p>
        </w:tc>
        <w:tc>
          <w:tcPr>
            <w:tcW w:type="dxa" w:w="2160"/>
          </w:tcPr>
          <w:p>
            <w:r/>
            <w:r>
              <w:t>31</w:t>
            </w:r>
          </w:p>
        </w:tc>
        <w:tc>
          <w:tcPr>
            <w:tcW w:type="dxa" w:w="2160"/>
          </w:tcPr>
          <w:p>
            <w:r/>
            <w:r>
              <w:t>32</w:t>
            </w:r>
          </w:p>
        </w:tc>
      </w:tr>
      <w:tr>
        <w:tc>
          <w:tcPr>
            <w:tcW w:type="dxa" w:w="2160"/>
          </w:tcPr>
          <w:p>
            <w:r/>
            <w:r/>
            <w:r>
              <w:rPr>
                <w:rFonts w:ascii="Courier New" w:hAnsi="Courier New"/>
                <w:sz w:val="18"/>
              </w:rPr>
              <w:t>MI</w:t>
            </w:r>
            <w:r/>
          </w:p>
        </w:tc>
        <w:tc>
          <w:tcPr>
            <w:tcW w:type="dxa" w:w="2160"/>
          </w:tcPr>
          <w:p>
            <w:r/>
            <w:r>
              <w:t>34</w:t>
            </w:r>
          </w:p>
        </w:tc>
        <w:tc>
          <w:tcPr>
            <w:tcW w:type="dxa" w:w="2160"/>
          </w:tcPr>
          <w:p>
            <w:r/>
            <w:r>
              <w:t>35</w:t>
            </w:r>
          </w:p>
        </w:tc>
        <w:tc>
          <w:tcPr>
            <w:tcW w:type="dxa" w:w="2160"/>
          </w:tcPr>
          <w:p>
            <w:r/>
            <w:r>
              <w:t>36</w:t>
            </w:r>
          </w:p>
        </w:tc>
      </w:tr>
      <w:tr>
        <w:tc>
          <w:tcPr>
            <w:tcW w:type="dxa" w:w="2160"/>
          </w:tcPr>
          <w:p>
            <w:r/>
            <w:r/>
            <w:r>
              <w:rPr>
                <w:rFonts w:ascii="Courier New" w:hAnsi="Courier New"/>
                <w:sz w:val="18"/>
              </w:rPr>
              <w:t>EST12</w:t>
            </w:r>
            <w:r/>
          </w:p>
        </w:tc>
        <w:tc>
          <w:tcPr>
            <w:tcW w:type="dxa" w:w="2160"/>
          </w:tcPr>
          <w:p>
            <w:r/>
            <w:r>
              <w:t>42</w:t>
            </w:r>
          </w:p>
        </w:tc>
        <w:tc>
          <w:tcPr>
            <w:tcW w:type="dxa" w:w="2160"/>
          </w:tcPr>
          <w:p>
            <w:r/>
            <w:r>
              <w:t>43</w:t>
            </w:r>
          </w:p>
        </w:tc>
        <w:tc>
          <w:tcPr>
            <w:tcW w:type="dxa" w:w="2160"/>
          </w:tcPr>
          <w:p>
            <w:r/>
            <w:r>
              <w:t>44</w:t>
            </w:r>
          </w:p>
        </w:tc>
      </w:tr>
      <w:tr>
        <w:tc>
          <w:tcPr>
            <w:tcW w:type="dxa" w:w="2160"/>
          </w:tcPr>
          <w:p>
            <w:r/>
            <w:r/>
            <w:r>
              <w:rPr>
                <w:rFonts w:ascii="Courier New" w:hAnsi="Courier New"/>
                <w:sz w:val="18"/>
              </w:rPr>
              <w:t>BREC</w:t>
            </w:r>
            <w:r/>
          </w:p>
        </w:tc>
        <w:tc>
          <w:tcPr>
            <w:tcW w:type="dxa" w:w="2160"/>
          </w:tcPr>
          <w:p>
            <w:r/>
            <w:r>
              <w:t>—</w:t>
            </w:r>
          </w:p>
        </w:tc>
        <w:tc>
          <w:tcPr>
            <w:tcW w:type="dxa" w:w="2160"/>
          </w:tcPr>
          <w:p>
            <w:r/>
            <w:r>
              <w:t>46</w:t>
            </w:r>
          </w:p>
        </w:tc>
        <w:tc>
          <w:tcPr>
            <w:tcW w:type="dxa" w:w="2160"/>
          </w:tcPr>
          <w:p>
            <w:r/>
            <w:r>
              <w:t>47</w:t>
            </w:r>
          </w:p>
        </w:tc>
      </w:tr>
      <w:tr>
        <w:tc>
          <w:tcPr>
            <w:tcW w:type="dxa" w:w="2160"/>
          </w:tcPr>
          <w:p>
            <w:r/>
            <w:r>
              <w:t xml:space="preserve">Doc </w:t>
            </w:r>
            <w:r>
              <w:rPr>
                <w:rFonts w:ascii="Courier New" w:hAnsi="Courier New"/>
                <w:sz w:val="18"/>
              </w:rPr>
              <w:t>PMSC_1.8</w:t>
            </w:r>
            <w:r>
              <w:t xml:space="preserve"> filed in period</w:t>
            </w:r>
          </w:p>
        </w:tc>
        <w:tc>
          <w:tcPr>
            <w:tcW w:type="dxa" w:w="2160"/>
          </w:tcPr>
          <w:p>
            <w:r/>
            <w:r>
              <w:t>—</w:t>
            </w:r>
          </w:p>
        </w:tc>
        <w:tc>
          <w:tcPr>
            <w:tcW w:type="dxa" w:w="2160"/>
          </w:tcPr>
          <w:p>
            <w:r/>
            <w:r>
              <w:t>48</w:t>
            </w:r>
          </w:p>
        </w:tc>
        <w:tc>
          <w:tcPr>
            <w:tcW w:type="dxa" w:w="2160"/>
          </w:tcPr>
          <w:p>
            <w:r/>
            <w:r>
              <w:t>49</w:t>
            </w:r>
          </w:p>
        </w:tc>
      </w:tr>
      <w:tr>
        <w:tc>
          <w:tcPr>
            <w:tcW w:type="dxa" w:w="2160"/>
          </w:tcPr>
          <w:p>
            <w:r/>
            <w:r>
              <w:t xml:space="preserve">Doc </w:t>
            </w:r>
            <w:r>
              <w:rPr>
                <w:rFonts w:ascii="Courier New" w:hAnsi="Courier New"/>
                <w:sz w:val="18"/>
              </w:rPr>
              <w:t>PMAR_LICENSE</w:t>
            </w:r>
            <w:r>
              <w:t xml:space="preserve"> filed in period</w:t>
            </w:r>
          </w:p>
        </w:tc>
        <w:tc>
          <w:tcPr>
            <w:tcW w:type="dxa" w:w="2160"/>
          </w:tcPr>
          <w:p>
            <w:r/>
            <w:r>
              <w:t>—</w:t>
            </w:r>
          </w:p>
        </w:tc>
        <w:tc>
          <w:tcPr>
            <w:tcW w:type="dxa" w:w="2160"/>
          </w:tcPr>
          <w:p>
            <w:r/>
            <w:r>
              <w:t>50</w:t>
            </w:r>
          </w:p>
        </w:tc>
        <w:tc>
          <w:tcPr>
            <w:tcW w:type="dxa" w:w="2160"/>
          </w:tcPr>
          <w:p>
            <w:r/>
            <w:r>
              <w:t>—</w:t>
            </w:r>
          </w:p>
        </w:tc>
      </w:tr>
    </w:tbl>
    <w:p/>
    <w:p>
      <w:pPr>
        <w:pStyle w:val="NoSpacing"/>
        <w:ind w:left="432"/>
      </w:pPr>
      <w:r>
        <w:t xml:space="preserve">Note: </w:t>
      </w:r>
      <w:r>
        <w:rPr>
          <w:rFonts w:ascii="Courier New" w:hAnsi="Courier New"/>
          <w:sz w:val="18"/>
        </w:rPr>
        <w:t>BREC</w:t>
      </w:r>
      <w:r>
        <w:t xml:space="preserve"> subcases with </w:t>
      </w:r>
      <w:r>
        <w:rPr>
          <w:rFonts w:ascii="Courier New" w:hAnsi="Courier New"/>
          <w:sz w:val="18"/>
        </w:rPr>
        <w:t>cf_subCaseSubType = CORBR</w:t>
      </w:r>
      <w:r>
        <w:t xml:space="preserve"> are excluded (mapped to </w:t>
      </w:r>
      <w:r>
        <w:rPr>
          <w:rFonts w:ascii="Courier New" w:hAnsi="Courier New"/>
          <w:sz w:val="18"/>
        </w:rPr>
        <w:t>NULL</w:t>
      </w:r>
      <w:r>
        <w:t xml:space="preserve"> subcase type before row assignment).</w:t>
      </w:r>
    </w:p>
    <w:p/>
    <w:p>
      <w:pPr>
        <w:pStyle w:val="Heading3"/>
      </w:pPr>
      <w:r>
        <w:t>Safety Limit</w:t>
      </w:r>
    </w:p>
    <w:p>
      <w:r>
        <w:t xml:space="preserve">The rule aborts and returns an empty dataset if the initial query returns more than </w:t>
      </w:r>
      <w:r>
        <w:rPr>
          <w:b/>
        </w:rPr>
        <w:t>20,000 cases</w:t>
      </w:r>
      <w:r>
        <w:t xml:space="preserve">. If the report produces no output, check the eCourt logs for the message </w:t>
      </w:r>
      <w:r>
        <w:rPr>
          <w:rFonts w:ascii="Courier New" w:hAnsi="Courier New"/>
          <w:sz w:val="18"/>
        </w:rPr>
        <w:t>More than 20000 cases found, aborting</w:t>
      </w:r>
      <w:r>
        <w:t>.</w:t>
      </w:r>
    </w:p>
    <w:p>
      <w:pPr>
        <w:pStyle w:val="Heading3"/>
      </w:pPr>
      <w:r>
        <w:t>Testing</w:t>
      </w:r>
    </w:p>
    <w:p>
      <w:pPr>
        <w:pStyle w:val="ListNumber"/>
      </w:pPr>
      <w:r>
        <w:t>Run the report for a prior quarter and verify total case counts against a manual count of open/filed/closed Probate cases for that period.</w:t>
      </w:r>
    </w:p>
    <w:p>
      <w:pPr>
        <w:pStyle w:val="ListNumber"/>
      </w:pPr>
      <w:r>
        <w:t>Spot-check a few cases near row boundaries (e.g., a case filed exactly on the first day of the quarter) to confirm correct row assignment.</w:t>
      </w:r>
    </w:p>
    <w:p>
      <w:pPr>
        <w:pStyle w:val="ListNumber"/>
      </w:pPr>
      <w:r>
        <w:t xml:space="preserve">Verify </w:t>
      </w:r>
      <w:r>
        <w:rPr>
          <w:rFonts w:ascii="Courier New" w:hAnsi="Courier New"/>
          <w:sz w:val="18"/>
        </w:rPr>
        <w:t>BREC</w:t>
      </w:r>
      <w:r>
        <w:t xml:space="preserve"> cases with and without </w:t>
      </w:r>
      <w:r>
        <w:rPr>
          <w:rFonts w:ascii="Courier New" w:hAnsi="Courier New"/>
          <w:sz w:val="18"/>
        </w:rPr>
        <w:t>cf_subCaseSubType = CORBR</w:t>
      </w:r>
      <w:r>
        <w:t xml:space="preserve"> are handled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