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Terms and Conditions</w:t>
      </w:r>
    </w:p>
    <w:p>
      <w:pPr>
        <w:pStyle w:val="Subtitle"/>
      </w:pPr>
      <w:r>
        <w:rPr>
          <w:color w:val="5A677A"/>
        </w:rPr>
        <w:t>Please review how SQUARE works, what it provides, and your responsibilities as a user.</w:t>
      </w:r>
    </w:p>
    <w:tbl>
      <w:tblPr>
        <w:tblW w:type="auto" w:w="0"/>
        <w:jc w:val="left"/>
        <w:tblLayout w:type="fixed"/>
        <w:tblLook w:firstColumn="1" w:firstRow="1" w:lastColumn="0" w:lastRow="0" w:noHBand="0" w:noVBand="1" w:val="04A0"/>
      </w:tblPr>
      <w:tblGrid>
        <w:gridCol w:w="2376"/>
        <w:gridCol w:w="7560"/>
      </w:tblGrid>
      <w:tr>
        <w:tc>
          <w:tcPr>
            <w:tcW w:type="dxa" w:w="5040"/>
            <w:shd w:fill="EAF5F8"/>
            <w:tcMar>
              <w:top w:w="100" w:type="dxa"/>
              <w:start w:w="130" w:type="dxa"/>
              <w:bottom w:w="100" w:type="dxa"/>
              <w:end w:w="130" w:type="dxa"/>
            </w:tcMar>
            <w:vAlign w:val="center"/>
          </w:tcPr>
          <w:p>
            <w:r>
              <w:rPr>
                <w:b/>
              </w:rPr>
              <w:t>Effective date</w:t>
            </w:r>
          </w:p>
        </w:tc>
        <w:tc>
          <w:tcPr>
            <w:tcW w:type="dxa" w:w="5040"/>
            <w:tcMar>
              <w:top w:w="100" w:type="dxa"/>
              <w:start w:w="130" w:type="dxa"/>
              <w:bottom w:w="100" w:type="dxa"/>
              <w:end w:w="130" w:type="dxa"/>
            </w:tcMar>
            <w:vAlign w:val="center"/>
          </w:tcPr>
          <w:p>
            <w:r>
              <w:t>29 August 2026</w:t>
            </w:r>
          </w:p>
        </w:tc>
      </w:tr>
      <w:tr>
        <w:tc>
          <w:tcPr>
            <w:tcW w:type="dxa" w:w="5040"/>
            <w:shd w:fill="EAF5F8"/>
            <w:tcMar>
              <w:top w:w="100" w:type="dxa"/>
              <w:start w:w="130" w:type="dxa"/>
              <w:bottom w:w="100" w:type="dxa"/>
              <w:end w:w="130" w:type="dxa"/>
            </w:tcMar>
            <w:vAlign w:val="center"/>
          </w:tcPr>
          <w:p>
            <w:r>
              <w:rPr>
                <w:b/>
              </w:rPr>
              <w:t>Platform operator</w:t>
            </w:r>
          </w:p>
        </w:tc>
        <w:tc>
          <w:tcPr>
            <w:tcW w:type="dxa" w:w="5040"/>
            <w:tcMar>
              <w:top w:w="100" w:type="dxa"/>
              <w:start w:w="130" w:type="dxa"/>
              <w:bottom w:w="100" w:type="dxa"/>
              <w:end w:w="130" w:type="dxa"/>
            </w:tcMar>
            <w:vAlign w:val="center"/>
          </w:tcPr>
          <w:p>
            <w:r>
              <w:t>[INSERT REGISTERED LEGAL ENTITY NAME AND COMPANY NUMBER]</w:t>
            </w:r>
          </w:p>
        </w:tc>
      </w:tr>
      <w:tr>
        <w:tc>
          <w:tcPr>
            <w:tcW w:type="dxa" w:w="5040"/>
            <w:shd w:fill="EAF5F8"/>
            <w:tcMar>
              <w:top w:w="100" w:type="dxa"/>
              <w:start w:w="130" w:type="dxa"/>
              <w:bottom w:w="100" w:type="dxa"/>
              <w:end w:w="130" w:type="dxa"/>
            </w:tcMar>
            <w:vAlign w:val="center"/>
          </w:tcPr>
          <w:p>
            <w:r>
              <w:rPr>
                <w:b/>
              </w:rPr>
              <w:t>Contact</w:t>
            </w:r>
          </w:p>
        </w:tc>
        <w:tc>
          <w:tcPr>
            <w:tcW w:type="dxa" w:w="5040"/>
            <w:tcMar>
              <w:top w:w="100" w:type="dxa"/>
              <w:start w:w="130" w:type="dxa"/>
              <w:bottom w:w="100" w:type="dxa"/>
              <w:end w:w="130" w:type="dxa"/>
            </w:tcMar>
            <w:vAlign w:val="center"/>
          </w:tcPr>
          <w:p>
            <w:r>
              <w:t>[INSERT SUPPORT EMAIL, BUSINESS ADDRESS AND TELEPHONE NUMBER]</w:t>
            </w:r>
          </w:p>
        </w:tc>
      </w:tr>
    </w:tbl>
    <w:tbl>
      <w:tblPr>
        <w:tblW w:type="auto" w:w="0"/>
        <w:jc w:val="center"/>
        <w:tblLook w:firstColumn="1" w:firstRow="1" w:lastColumn="0" w:lastRow="0" w:noHBand="0" w:noVBand="1" w:val="04A0"/>
      </w:tblPr>
      <w:tblGrid>
        <w:gridCol w:w="10080"/>
      </w:tblGrid>
      <w:tr>
        <w:tc>
          <w:tcPr>
            <w:tcW w:type="dxa" w:w="10080"/>
            <w:shd w:fill="FFF4D6"/>
            <w:tcMar>
              <w:top w:w="150" w:type="dxa"/>
              <w:start w:w="180" w:type="dxa"/>
              <w:bottom w:w="150" w:type="dxa"/>
              <w:end w:w="180" w:type="dxa"/>
            </w:tcMar>
          </w:tcPr>
          <w:p>
            <w:r>
              <w:rPr>
                <w:b/>
                <w:color w:val="0B2A6F"/>
              </w:rPr>
              <w:t>Important legal status</w:t>
            </w:r>
          </w:p>
          <w:p>
            <w:pPr>
              <w:spacing w:after="0"/>
            </w:pPr>
            <w:r>
              <w:t>This is a working draft for SQUARE's product and legal teams. It must be reviewed and localised by a qualified Malaysian lawyer before publication, especially after the operator, payment model, referral arrangements, hosting locations and intended users are confirmed.</w:t>
            </w:r>
          </w:p>
        </w:tc>
      </w:tr>
    </w:tbl>
    <w:p>
      <w:pPr>
        <w:spacing w:after="20"/>
      </w:pPr>
    </w:p>
    <w:p>
      <w:pPr>
        <w:pStyle w:val="Heading1"/>
      </w:pPr>
      <w:r>
        <w:t>Quick summary</w:t>
      </w:r>
    </w:p>
    <w:p>
      <w:pPr>
        <w:pStyle w:val="ListBullet"/>
        <w:spacing w:after="120" w:line="259" w:lineRule="auto"/>
        <w:ind w:left="346"/>
      </w:pPr>
      <w:r>
        <w:t>SQUARE organises health and screening information and provides general wellness education and risk-awareness guidance.</w:t>
      </w:r>
    </w:p>
    <w:p>
      <w:pPr>
        <w:pStyle w:val="ListBullet"/>
        <w:spacing w:after="120" w:line="259" w:lineRule="auto"/>
        <w:ind w:left="346"/>
      </w:pPr>
      <w:r>
        <w:t>SQUARE is not an emergency service and, unless expressly stated for a separately contracted professional service, does not provide medical diagnosis, treatment, prescriptions or a doctor-patient relationship.</w:t>
      </w:r>
    </w:p>
    <w:p>
      <w:pPr>
        <w:pStyle w:val="ListBullet"/>
        <w:spacing w:after="120" w:line="259" w:lineRule="auto"/>
        <w:ind w:left="346"/>
      </w:pPr>
      <w:r>
        <w:t>Automated outputs can be incomplete or inaccurate and must be interpreted together with the original laboratory report, clinical context and professional advice.</w:t>
      </w:r>
    </w:p>
    <w:p>
      <w:pPr>
        <w:pStyle w:val="ListBullet"/>
        <w:spacing w:after="120" w:line="259" w:lineRule="auto"/>
        <w:ind w:left="346"/>
      </w:pPr>
      <w:r>
        <w:t>Health information is sensitive personal data. Its processing requires a separate Privacy Notice and an appropriate express-consent flow.</w:t>
      </w:r>
    </w:p>
    <w:p>
      <w:pPr>
        <w:pStyle w:val="ListBullet"/>
        <w:spacing w:after="120" w:line="259" w:lineRule="auto"/>
        <w:ind w:left="346"/>
      </w:pPr>
      <w:r>
        <w:t>Users must provide accurate information, check extracted report values and seek qualified care when symptoms, results or platform alerts warrant it.</w:t>
      </w:r>
    </w:p>
    <w:p>
      <w:pPr>
        <w:spacing w:after="120" w:line="259" w:lineRule="auto"/>
      </w:pPr>
      <w:r>
        <w:t>This summary is for convenience only. If it conflicts with the clauses below, the clauses below prevail.</w:t>
      </w:r>
    </w:p>
    <w:p>
      <w:pPr>
        <w:pStyle w:val="Heading1"/>
      </w:pPr>
      <w:r>
        <w:t>1. About SQUARE and acceptance</w:t>
      </w:r>
    </w:p>
    <w:p>
      <w:pPr>
        <w:spacing w:after="120" w:line="259" w:lineRule="auto"/>
      </w:pPr>
      <w:r>
        <w:t>These Terms and Conditions (Terms) form a binding agreement between you and the Platform Operator identified above (SQUARE, we, us or our) regarding your access to and use of SQUARE's website, application, reports, questionnaires, calculators, educational material, referral features and related services (Services).</w:t>
      </w:r>
    </w:p>
    <w:p>
      <w:pPr>
        <w:spacing w:after="120" w:line="259" w:lineRule="auto"/>
      </w:pPr>
      <w:r>
        <w:t>By selecting “I have read and agree”, creating an account, purchasing a Service or continuing to use SQUARE, you confirm that you have read and accepted these Terms. If you do not accept them, do not use the Services. Your use is also subject to the Privacy Notice and, where applicable, separate consent notices or professional-service terms.</w:t>
      </w:r>
    </w:p>
    <w:p>
      <w:pPr>
        <w:spacing w:after="120" w:line="259" w:lineRule="auto"/>
      </w:pPr>
      <w:r>
        <w:t>If you use SQUARE for another person, you confirm that you are legally authorised to act for that person and to provide their information. You must identify the correct patient or data subject and must not impersonate another person.</w:t>
      </w:r>
    </w:p>
    <w:p>
      <w:pPr>
        <w:pStyle w:val="Heading1"/>
      </w:pPr>
      <w:r>
        <w:t>2. Eligibility</w:t>
      </w:r>
    </w:p>
    <w:p>
      <w:pPr>
        <w:spacing w:after="120" w:line="259" w:lineRule="auto"/>
      </w:pPr>
      <w:r>
        <w:t>You must be at least 18 years old and have legal capacity to enter into this agreement. A person under 18 may use SQUARE only through a parent or legal guardian and only if the relevant service is expressly made available to minors.</w:t>
      </w:r>
    </w:p>
    <w:p>
      <w:pPr>
        <w:spacing w:after="120" w:line="259" w:lineRule="auto"/>
      </w:pPr>
      <w:r>
        <w:t>SQUARE is presently intended for users in Malaysia unless we expressly state otherwise. Health guidance, units, referral pathways and legal requirements may differ by location.</w:t>
      </w:r>
    </w:p>
    <w:p>
      <w:pPr>
        <w:pStyle w:val="Heading1"/>
      </w:pPr>
      <w:r>
        <w:t>3. Scope of the Services</w:t>
      </w:r>
    </w:p>
    <w:p>
      <w:pPr>
        <w:spacing w:after="120" w:line="259" w:lineRule="auto"/>
      </w:pPr>
      <w:r>
        <w:t>Depending on the version and plan made available to you, SQUARE may: receive uploaded laboratory or screening reports; extract or allow entry of values; collect health-profile and lifestyle information; organise results by health domain; compare information with displayed laboratory ranges or selected guidelines; calculate recognised risk scores; generate general explanations, wellness education and suggested next steps; track progress; and facilitate contact with independent healthcare professionals, laboratories, pharmacies or other service providers.</w:t>
      </w:r>
    </w:p>
    <w:p>
      <w:pPr>
        <w:spacing w:after="120" w:line="259" w:lineRule="auto"/>
      </w:pPr>
      <w:r>
        <w:t>Features may be added, removed, suspended or changed. A feature description shown at the time of purchase forms part of the relevant order. We do not guarantee that every report format, test, unit, language, laboratory or health condition is supported.</w:t>
      </w:r>
    </w:p>
    <w:p>
      <w:pPr>
        <w:pStyle w:val="Heading1"/>
      </w:pPr>
      <w:r>
        <w:t>4. Not medical diagnosis or emergency care</w:t>
      </w:r>
    </w:p>
    <w:p>
      <w:pPr>
        <w:spacing w:after="120" w:line="259" w:lineRule="auto"/>
      </w:pPr>
      <w:r>
        <w:t>Unless SQUARE expressly identifies a separately booked consultation delivered by a named, appropriately registered healthcare professional, SQUARE's platform output is general informational and educational content. It is not a diagnosis, medical opinion, prescription, treatment plan, medical certificate, laboratory validation, or substitute for examination by a qualified healthcare professional.</w:t>
      </w:r>
    </w:p>
    <w:p>
      <w:pPr>
        <w:spacing w:after="120" w:line="259" w:lineRule="auto"/>
      </w:pPr>
      <w:r>
        <w:t>Use of the automated platform alone does not create a doctor-patient relationship. The involvement of doctors in designing, reviewing or governing the platform does not by itself create such a relationship with a user.</w:t>
      </w:r>
    </w:p>
    <w:p>
      <w:pPr>
        <w:spacing w:after="120" w:line="259" w:lineRule="auto"/>
      </w:pPr>
      <w:r>
        <w:t>SQUARE does not continuously monitor your data and may not detect deterioration, urgent abnormalities or emergencies. Do not delay or disregard professional advice because of SQUARE output. If you have severe symptoms, feel unsafe, or believe there is an emergency, contact Malaysian emergency services at 999 or attend the nearest emergency department.</w:t>
      </w:r>
    </w:p>
    <w:p>
      <w:pPr>
        <w:pStyle w:val="Heading1"/>
      </w:pPr>
      <w:r>
        <w:t>5. Laboratory reports, reference ranges and automated outputs</w:t>
      </w:r>
    </w:p>
    <w:p>
      <w:pPr>
        <w:spacing w:after="120" w:line="259" w:lineRule="auto"/>
      </w:pPr>
      <w:r>
        <w:t>Laboratory values must be interpreted using the original report, specimen details, units, methodology, reference interval, patient characteristics and clinical context. Reference intervals can differ between laboratories and are not treatment thresholds. A value inside a reference interval does not guarantee health, and a value outside it does not necessarily establish disease.</w:t>
      </w:r>
    </w:p>
    <w:p>
      <w:pPr>
        <w:spacing w:after="120" w:line="259" w:lineRule="auto"/>
      </w:pPr>
      <w:r>
        <w:t>Optical character recognition, manual entry, unit conversion, mappings, calculators, rules and artificial-intelligence components may misread, omit, duplicate or incorrectly classify information. Before relying on an output, you must compare patient identity, test name, date, value, unit, flag and reference interval against the original report. If there is any mismatch, do not rely on the output and contact us or a healthcare professional.</w:t>
      </w:r>
    </w:p>
    <w:p>
      <w:pPr>
        <w:spacing w:after="120" w:line="259" w:lineRule="auto"/>
      </w:pPr>
      <w:r>
        <w:t>Risk scores estimate risk for defined populations and time periods. They may not be validated for every individual or Malaysian subgroup and must not be treated as certainty. We may display the source, version, assumptions and limitations of a calculator where appropriate.</w:t>
      </w:r>
    </w:p>
    <w:p>
      <w:pPr>
        <w:pStyle w:val="Heading1"/>
      </w:pPr>
      <w:r>
        <w:t>6. Your responsibilities</w:t>
      </w:r>
    </w:p>
    <w:p>
      <w:pPr>
        <w:spacing w:after="120" w:line="259" w:lineRule="auto"/>
      </w:pPr>
      <w:r>
        <w:t>You agree to provide information that is accurate, current, complete and lawfully obtained; update material changes; answer questionnaires honestly; and avoid uploading altered, illegible, incomplete or mismatched reports.</w:t>
      </w:r>
    </w:p>
    <w:p>
      <w:pPr>
        <w:spacing w:after="120" w:line="259" w:lineRule="auto"/>
      </w:pPr>
      <w:r>
        <w:t>You remain responsible for your decisions and for obtaining appropriate professional care. You must not change medication, supplements, diet prescribed for a medical condition, or treatment solely because of SQUARE output.</w:t>
      </w:r>
    </w:p>
    <w:p>
      <w:pPr>
        <w:spacing w:after="120" w:line="259" w:lineRule="auto"/>
      </w:pPr>
      <w:r>
        <w:t>You must use the Services only for lawful, personal purposes. You must not probe security, introduce malware, scrape or reverse engineer the platform, evade access controls, overload the Services, copy protected content at scale, train another model using platform content, or use SQUARE to diagnose or treat third parties without appropriate authority and professional governance.</w:t>
      </w:r>
    </w:p>
    <w:p>
      <w:pPr>
        <w:pStyle w:val="Heading1"/>
      </w:pPr>
      <w:r>
        <w:t>7. Accounts and security</w:t>
      </w:r>
    </w:p>
    <w:p>
      <w:pPr>
        <w:spacing w:after="120" w:line="259" w:lineRule="auto"/>
      </w:pPr>
      <w:r>
        <w:t>You are responsible for safeguarding credentials, devices and verification codes, and for activity through your account. Notify us promptly if you suspect unauthorised access. We may require identity verification, restrict access, suspend an account or reset credentials to protect users, data or the Services.</w:t>
      </w:r>
    </w:p>
    <w:p>
      <w:pPr>
        <w:spacing w:after="120" w:line="259" w:lineRule="auto"/>
      </w:pPr>
      <w:r>
        <w:t>We may suspend or terminate access for material breach, fraud, abuse, security risk, legal requirement, non-payment or conduct that could harm a user or third party. Where reasonably possible, we will provide notice and an opportunity to remedy.</w:t>
      </w:r>
    </w:p>
    <w:p>
      <w:pPr>
        <w:pStyle w:val="Heading1"/>
      </w:pPr>
      <w:r>
        <w:t>8. Privacy and health data</w:t>
      </w:r>
    </w:p>
    <w:p>
      <w:pPr>
        <w:spacing w:after="120" w:line="259" w:lineRule="auto"/>
      </w:pPr>
      <w:r>
        <w:t>SQUARE may process identity, contact, demographic, lifestyle, screening, laboratory, medical-history, medication and other health-related information. Health information is sensitive personal data. Our processing practices, purposes, disclosures, retention, security measures, contact channel and your rights are described in the Privacy Notice.</w:t>
      </w:r>
    </w:p>
    <w:p>
      <w:pPr>
        <w:spacing w:after="120" w:line="259" w:lineRule="auto"/>
      </w:pPr>
      <w:r>
        <w:t>Acceptance of these Terms is not a substitute for any express consent required to process sensitive personal data. Where required, SQUARE will request separate, specific consent. Optional consent for research, product development or direct marketing must not be bundled with access to the core Service and may be withdrawn subject to law and the Privacy Notice.</w:t>
      </w:r>
    </w:p>
    <w:p>
      <w:pPr>
        <w:spacing w:after="120" w:line="259" w:lineRule="auto"/>
      </w:pPr>
      <w:r>
        <w:t>No internet service is completely secure. You should upload only information needed for the Service. If you provide another person's data, you confirm a valid legal basis and authority to do so.</w:t>
      </w:r>
    </w:p>
    <w:p>
      <w:pPr>
        <w:pStyle w:val="Heading1"/>
      </w:pPr>
      <w:r>
        <w:t>9. Professional referrals and third-party services</w:t>
      </w:r>
    </w:p>
    <w:p>
      <w:pPr>
        <w:spacing w:after="120" w:line="259" w:lineRule="auto"/>
      </w:pPr>
      <w:r>
        <w:t>SQUARE may display or facilitate referrals to independent doctors, clinics, laboratories, pharmacies, allied health professionals or other providers. Unless expressly identified as our employee or agent, each provider is independent and is responsible for their own availability, suitability, professional assessment, advice, treatment, fees, records and legal obligations.</w:t>
      </w:r>
    </w:p>
    <w:p>
      <w:pPr>
        <w:spacing w:after="120" w:line="259" w:lineRule="auto"/>
      </w:pPr>
      <w:r>
        <w:t>A referral, listing or link is not a guarantee or endorsement of outcome. You may choose another qualified provider. Any commercial relationship, referral fee, commission or sponsored placement should be disclosed where relevant. Purchases from third parties may be governed by separate terms.</w:t>
      </w:r>
    </w:p>
    <w:p>
      <w:pPr>
        <w:pStyle w:val="Heading1"/>
      </w:pPr>
      <w:r>
        <w:t>10. Fees, payment and cancellation</w:t>
      </w:r>
    </w:p>
    <w:p>
      <w:pPr>
        <w:spacing w:after="120" w:line="259" w:lineRule="auto"/>
      </w:pPr>
      <w:r>
        <w:t>Prices, taxes, billing frequency and included features will be shown before purchase. You authorise the stated charges through the selected payment method. Except where the law or the checkout terms require otherwise, fees for a completed digital report or analysis are non-refundable once processing has begun.</w:t>
      </w:r>
    </w:p>
    <w:p>
      <w:pPr>
        <w:spacing w:after="120" w:line="259" w:lineRule="auto"/>
      </w:pPr>
      <w:r>
        <w:t>For subscriptions, renewal and cancellation rules will be shown at checkout. Cancellation stops future renewal but does not ordinarily refund the current billing period. If SQUARE fails to supply a paid Service, your available remedy may include re-performance, credit or refund, subject to applicable consumer law. This clause does not exclude rights that cannot lawfully be excluded.</w:t>
      </w:r>
    </w:p>
    <w:p>
      <w:pPr>
        <w:pStyle w:val="Heading1"/>
      </w:pPr>
      <w:r>
        <w:t>11. Intellectual property and acceptable reuse</w:t>
      </w:r>
    </w:p>
    <w:p>
      <w:pPr>
        <w:spacing w:after="120" w:line="259" w:lineRule="auto"/>
      </w:pPr>
      <w:r>
        <w:t>SQUARE and its licensors own the platform, design, software, explanatory content, templates, branding and compilations, except for your data and third-party material. We grant you a limited, personal, revocable, non-exclusive and non-transferable right to use the Services under these Terms.</w:t>
      </w:r>
    </w:p>
    <w:p>
      <w:pPr>
        <w:spacing w:after="120" w:line="259" w:lineRule="auto"/>
      </w:pPr>
      <w:r>
        <w:t>You retain rights in information you submit. You grant us the rights reasonably needed to host, process, analyse, reproduce and transmit that information to provide, secure and improve the Services in accordance with the Privacy Notice and your consent choices.</w:t>
      </w:r>
    </w:p>
    <w:p>
      <w:pPr>
        <w:pStyle w:val="Heading1"/>
      </w:pPr>
      <w:r>
        <w:t>12. Availability and platform limitations</w:t>
      </w:r>
    </w:p>
    <w:p>
      <w:pPr>
        <w:spacing w:after="120" w:line="259" w:lineRule="auto"/>
      </w:pPr>
      <w:r>
        <w:t>We aim to provide a reliable Service but do not promise uninterrupted, error-free or permanently available access. Maintenance, network failures, cyber incidents, unsupported files, third-party systems, regulatory requirements or events beyond reasonable control may disrupt the Services.</w:t>
      </w:r>
    </w:p>
    <w:p>
      <w:pPr>
        <w:spacing w:after="120" w:line="259" w:lineRule="auto"/>
      </w:pPr>
      <w:r>
        <w:t>To the extent permitted by law, the Services are provided on an “as available” basis. We do not warrant that automated information is complete, current or suitable for a particular clinical decision. Nothing in these Terms excludes a guarantee, duty or remedy that cannot lawfully be excluded.</w:t>
      </w:r>
    </w:p>
    <w:p>
      <w:pPr>
        <w:pStyle w:val="Heading1"/>
      </w:pPr>
      <w:r>
        <w:t>13. Liability</w:t>
      </w:r>
    </w:p>
    <w:p>
      <w:pPr>
        <w:spacing w:after="120" w:line="259" w:lineRule="auto"/>
      </w:pPr>
      <w:r>
        <w:t>Nothing in these Terms excludes or limits liability for fraud, wilful misconduct, death or personal injury caused by negligence, breach of confidentiality or data-protection obligations where liability cannot lawfully be limited, or any other liability that applicable law does not permit us to exclude.</w:t>
      </w:r>
    </w:p>
    <w:p>
      <w:pPr>
        <w:spacing w:after="120" w:line="259" w:lineRule="auto"/>
      </w:pPr>
      <w:r>
        <w:t>Subject to the previous paragraph and to the extent permitted by law, SQUARE is not liable for indirect, incidental, special or consequential loss; loss caused by inaccurate or incomplete information supplied by a user or third party; decisions made without appropriate professional assessment; independent third-party services; or inability to access the Services.</w:t>
      </w:r>
    </w:p>
    <w:p>
      <w:pPr>
        <w:spacing w:after="120" w:line="259" w:lineRule="auto"/>
      </w:pPr>
      <w:r>
        <w:t>Any monetary cap and its exceptions must be finalised by Malaysian legal counsel after the paid-service model and insurance coverage are confirmed. No draft cap is inserted here to avoid creating a misleading or unenforceable limitation.</w:t>
      </w:r>
    </w:p>
    <w:p>
      <w:pPr>
        <w:pStyle w:val="Heading1"/>
      </w:pPr>
      <w:r>
        <w:t>14. Changes to these Terms</w:t>
      </w:r>
    </w:p>
    <w:p>
      <w:pPr>
        <w:spacing w:after="120" w:line="259" w:lineRule="auto"/>
      </w:pPr>
      <w:r>
        <w:t>We may update these Terms to reflect changes in law, regulation, safety, technology, functionality or business operations. We will post the updated version with its effective date. For material changes, we will provide reasonable notice and request renewed acceptance where required. Changes do not retrospectively remove accrued rights.</w:t>
      </w:r>
    </w:p>
    <w:p>
      <w:pPr>
        <w:pStyle w:val="Heading1"/>
      </w:pPr>
      <w:r>
        <w:t>15. Governing law, complaints and contact</w:t>
      </w:r>
    </w:p>
    <w:p>
      <w:pPr>
        <w:spacing w:after="120" w:line="259" w:lineRule="auto"/>
      </w:pPr>
      <w:r>
        <w:t>These Terms are governed by the laws of Malaysia. The parties should first attempt in good faith to resolve a complaint through SQUARE's support channel. Any final court venue or alternative dispute-resolution clause must be completed by Malaysian legal counsel after the Platform Operator's registered location is confirmed.</w:t>
      </w:r>
    </w:p>
    <w:p>
      <w:pPr>
        <w:spacing w:after="120" w:line="259" w:lineRule="auto"/>
      </w:pPr>
      <w:r>
        <w:t>Questions, complaints, account requests and legal notices may be sent to [INSERT SUPPORT/LEGAL EMAIL] or [INSERT REGISTERED BUSINESS ADDRESS]. Privacy requests should use the contact stated in the Privacy Notice.</w:t>
      </w:r>
    </w:p>
    <w:p>
      <w:r>
        <w:br w:type="page"/>
      </w:r>
    </w:p>
    <w:p>
      <w:pPr>
        <w:pStyle w:val="Heading1"/>
      </w:pPr>
      <w:r>
        <w:t>16. Definitions and interpretation</w:t>
      </w:r>
    </w:p>
    <w:tbl>
      <w:tblPr>
        <w:tblStyle w:val="TableGrid"/>
        <w:tblW w:type="auto" w:w="0"/>
        <w:jc w:val="center"/>
        <w:tblLook w:firstColumn="1" w:firstRow="1" w:lastColumn="0" w:lastRow="0" w:noHBand="0" w:noVBand="1" w:val="04A0"/>
      </w:tblPr>
      <w:tblGrid>
        <w:gridCol w:w="2232"/>
        <w:gridCol w:w="7704"/>
      </w:tblGrid>
      <w:tr>
        <w:trPr>
          <w:tblHeader w:val="true"/>
        </w:trPr>
        <w:tc>
          <w:tcPr>
            <w:tcW w:type="dxa" w:w="5040"/>
            <w:shd w:fill="0B2A6F"/>
            <w:tcMar>
              <w:top w:w="100" w:type="dxa"/>
              <w:start w:w="130" w:type="dxa"/>
              <w:bottom w:w="100" w:type="dxa"/>
              <w:end w:w="130" w:type="dxa"/>
            </w:tcMar>
          </w:tcPr>
          <w:p>
            <w:r>
              <w:rPr>
                <w:b/>
                <w:color w:val="FFFFFF"/>
              </w:rPr>
              <w:t>Term</w:t>
            </w:r>
          </w:p>
        </w:tc>
        <w:tc>
          <w:tcPr>
            <w:tcW w:type="dxa" w:w="5040"/>
            <w:shd w:fill="0B2A6F"/>
            <w:tcMar>
              <w:top w:w="100" w:type="dxa"/>
              <w:start w:w="130" w:type="dxa"/>
              <w:bottom w:w="100" w:type="dxa"/>
              <w:end w:w="130" w:type="dxa"/>
            </w:tcMar>
          </w:tcPr>
          <w:p>
            <w:r>
              <w:rPr>
                <w:b/>
                <w:color w:val="FFFFFF"/>
              </w:rPr>
              <w:t>Meaning</w:t>
            </w:r>
          </w:p>
        </w:tc>
      </w:tr>
      <w:tr>
        <w:tc>
          <w:tcPr>
            <w:tcW w:type="dxa" w:w="2232"/>
            <w:tcMar>
              <w:top w:w="100" w:type="dxa"/>
              <w:start w:w="130" w:type="dxa"/>
              <w:bottom w:w="100" w:type="dxa"/>
              <w:end w:w="130" w:type="dxa"/>
            </w:tcMar>
          </w:tcPr>
          <w:p>
            <w:r>
              <w:rPr>
                <w:b/>
              </w:rPr>
              <w:t>Automated Output</w:t>
            </w:r>
          </w:p>
        </w:tc>
        <w:tc>
          <w:tcPr>
            <w:tcW w:type="dxa" w:w="7704"/>
            <w:tcMar>
              <w:top w:w="100" w:type="dxa"/>
              <w:start w:w="130" w:type="dxa"/>
              <w:bottom w:w="100" w:type="dxa"/>
              <w:end w:w="130" w:type="dxa"/>
            </w:tcMar>
          </w:tcPr>
          <w:p>
            <w:r>
              <w:t>any result, score, classification, explanation, alert or recommendation produced partly or wholly by software, rules, calculators, optical character recognition or artificial intelligence.</w:t>
            </w:r>
          </w:p>
        </w:tc>
      </w:tr>
      <w:tr>
        <w:tc>
          <w:tcPr>
            <w:tcW w:type="dxa" w:w="2232"/>
            <w:tcMar>
              <w:top w:w="100" w:type="dxa"/>
              <w:start w:w="130" w:type="dxa"/>
              <w:bottom w:w="100" w:type="dxa"/>
              <w:end w:w="130" w:type="dxa"/>
            </w:tcMar>
          </w:tcPr>
          <w:p>
            <w:r>
              <w:rPr>
                <w:b/>
              </w:rPr>
              <w:t>Healthcare Professional</w:t>
            </w:r>
          </w:p>
        </w:tc>
        <w:tc>
          <w:tcPr>
            <w:tcW w:type="dxa" w:w="7704"/>
            <w:tcMar>
              <w:top w:w="100" w:type="dxa"/>
              <w:start w:w="130" w:type="dxa"/>
              <w:bottom w:w="100" w:type="dxa"/>
              <w:end w:w="130" w:type="dxa"/>
            </w:tcMar>
          </w:tcPr>
          <w:p>
            <w:r>
              <w:t>a person appropriately registered, licensed or otherwise authorised to provide the relevant healthcare service.</w:t>
            </w:r>
          </w:p>
        </w:tc>
      </w:tr>
      <w:tr>
        <w:tc>
          <w:tcPr>
            <w:tcW w:type="dxa" w:w="2232"/>
            <w:tcMar>
              <w:top w:w="100" w:type="dxa"/>
              <w:start w:w="130" w:type="dxa"/>
              <w:bottom w:w="100" w:type="dxa"/>
              <w:end w:w="130" w:type="dxa"/>
            </w:tcMar>
          </w:tcPr>
          <w:p>
            <w:r>
              <w:rPr>
                <w:b/>
              </w:rPr>
              <w:t>Original Report</w:t>
            </w:r>
          </w:p>
        </w:tc>
        <w:tc>
          <w:tcPr>
            <w:tcW w:type="dxa" w:w="7704"/>
            <w:tcMar>
              <w:top w:w="100" w:type="dxa"/>
              <w:start w:w="130" w:type="dxa"/>
              <w:bottom w:w="100" w:type="dxa"/>
              <w:end w:w="130" w:type="dxa"/>
            </w:tcMar>
          </w:tcPr>
          <w:p>
            <w:r>
              <w:t>the report issued by the relevant laboratory or screening provider, including its units, flags, reference intervals and notes.</w:t>
            </w:r>
          </w:p>
        </w:tc>
      </w:tr>
      <w:tr>
        <w:tc>
          <w:tcPr>
            <w:tcW w:type="dxa" w:w="2232"/>
            <w:tcMar>
              <w:top w:w="100" w:type="dxa"/>
              <w:start w:w="130" w:type="dxa"/>
              <w:bottom w:w="100" w:type="dxa"/>
              <w:end w:w="130" w:type="dxa"/>
            </w:tcMar>
          </w:tcPr>
          <w:p>
            <w:r>
              <w:rPr>
                <w:b/>
              </w:rPr>
              <w:t>Privacy Notice</w:t>
            </w:r>
          </w:p>
        </w:tc>
        <w:tc>
          <w:tcPr>
            <w:tcW w:type="dxa" w:w="7704"/>
            <w:tcMar>
              <w:top w:w="100" w:type="dxa"/>
              <w:start w:w="130" w:type="dxa"/>
              <w:bottom w:w="100" w:type="dxa"/>
              <w:end w:w="130" w:type="dxa"/>
            </w:tcMar>
          </w:tcPr>
          <w:p>
            <w:r>
              <w:t>SQUARE’s current personal-data notice, presented separately from these Terms.</w:t>
            </w:r>
          </w:p>
        </w:tc>
      </w:tr>
      <w:tr>
        <w:tc>
          <w:tcPr>
            <w:tcW w:type="dxa" w:w="2232"/>
            <w:tcMar>
              <w:top w:w="100" w:type="dxa"/>
              <w:start w:w="130" w:type="dxa"/>
              <w:bottom w:w="100" w:type="dxa"/>
              <w:end w:w="130" w:type="dxa"/>
            </w:tcMar>
          </w:tcPr>
          <w:p>
            <w:r>
              <w:rPr>
                <w:b/>
              </w:rPr>
              <w:t>User Data</w:t>
            </w:r>
          </w:p>
        </w:tc>
        <w:tc>
          <w:tcPr>
            <w:tcW w:type="dxa" w:w="7704"/>
            <w:tcMar>
              <w:top w:w="100" w:type="dxa"/>
              <w:start w:w="130" w:type="dxa"/>
              <w:bottom w:w="100" w:type="dxa"/>
              <w:end w:w="130" w:type="dxa"/>
            </w:tcMar>
          </w:tcPr>
          <w:p>
            <w:r>
              <w:t>information, documents and content submitted by or for a user.</w:t>
            </w:r>
          </w:p>
        </w:tc>
      </w:tr>
    </w:tbl>
    <w:p>
      <w:r>
        <w:br w:type="page"/>
      </w:r>
    </w:p>
    <w:p>
      <w:pPr>
        <w:pStyle w:val="Heading1"/>
      </w:pPr>
      <w:r>
        <w:t>Implementation sheet for the onboarding screen</w:t>
      </w:r>
    </w:p>
    <w:p>
      <w:pPr>
        <w:spacing w:after="120" w:line="259" w:lineRule="auto"/>
      </w:pPr>
      <w:r>
        <w:t>Recommended display and consent controls for the screen shown in the SQUARE account-setup design.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0B2A6F"/>
            <w:tcMar>
              <w:top w:w="100" w:type="dxa"/>
              <w:start w:w="130" w:type="dxa"/>
              <w:bottom w:w="100" w:type="dxa"/>
              <w:end w:w="130" w:type="dxa"/>
            </w:tcMar>
          </w:tcPr>
          <w:p>
            <w:r>
              <w:rPr>
                <w:b/>
                <w:color w:val="FFFFFF"/>
              </w:rPr>
              <w:t>Interface element</w:t>
            </w:r>
          </w:p>
        </w:tc>
        <w:tc>
          <w:tcPr>
            <w:tcW w:type="dxa" w:w="3360"/>
            <w:shd w:fill="0B2A6F"/>
            <w:tcMar>
              <w:top w:w="100" w:type="dxa"/>
              <w:start w:w="130" w:type="dxa"/>
              <w:bottom w:w="100" w:type="dxa"/>
              <w:end w:w="130" w:type="dxa"/>
            </w:tcMar>
          </w:tcPr>
          <w:p>
            <w:r>
              <w:rPr>
                <w:b/>
                <w:color w:val="FFFFFF"/>
              </w:rPr>
              <w:t>Recommended wording / behaviour</w:t>
            </w:r>
          </w:p>
        </w:tc>
        <w:tc>
          <w:tcPr>
            <w:tcW w:type="dxa" w:w="3360"/>
            <w:shd w:fill="0B2A6F"/>
            <w:tcMar>
              <w:top w:w="100" w:type="dxa"/>
              <w:start w:w="130" w:type="dxa"/>
              <w:bottom w:w="100" w:type="dxa"/>
              <w:end w:w="130" w:type="dxa"/>
            </w:tcMar>
          </w:tcPr>
          <w:p>
            <w:r>
              <w:rPr>
                <w:b/>
                <w:color w:val="FFFFFF"/>
              </w:rPr>
              <w:t>Reason</w:t>
            </w:r>
          </w:p>
        </w:tc>
      </w:tr>
      <w:tr>
        <w:tc>
          <w:tcPr>
            <w:tcW w:type="dxa" w:w="3360"/>
            <w:tcMar>
              <w:top w:w="100" w:type="dxa"/>
              <w:start w:w="130" w:type="dxa"/>
              <w:bottom w:w="100" w:type="dxa"/>
              <w:end w:w="130" w:type="dxa"/>
            </w:tcMar>
          </w:tcPr>
          <w:p>
            <w:r>
              <w:rPr>
                <w:b/>
              </w:rPr>
              <w:t>Terms checkbox</w:t>
            </w:r>
          </w:p>
        </w:tc>
        <w:tc>
          <w:tcPr>
            <w:tcW w:type="dxa" w:w="3360"/>
            <w:tcMar>
              <w:top w:w="100" w:type="dxa"/>
              <w:start w:w="130" w:type="dxa"/>
              <w:bottom w:w="100" w:type="dxa"/>
              <w:end w:w="130" w:type="dxa"/>
            </w:tcMar>
          </w:tcPr>
          <w:p>
            <w:r>
              <w:t>I have read and agree to the Terms and Conditions.</w:t>
            </w:r>
          </w:p>
        </w:tc>
        <w:tc>
          <w:tcPr>
            <w:tcW w:type="dxa" w:w="3360"/>
            <w:tcMar>
              <w:top w:w="100" w:type="dxa"/>
              <w:start w:w="130" w:type="dxa"/>
              <w:bottom w:w="100" w:type="dxa"/>
              <w:end w:w="130" w:type="dxa"/>
            </w:tcMar>
          </w:tcPr>
          <w:p>
            <w:r>
              <w:t>Records contractual acceptance only.</w:t>
            </w:r>
          </w:p>
        </w:tc>
      </w:tr>
      <w:tr>
        <w:tc>
          <w:tcPr>
            <w:tcW w:type="dxa" w:w="3360"/>
            <w:tcMar>
              <w:top w:w="100" w:type="dxa"/>
              <w:start w:w="130" w:type="dxa"/>
              <w:bottom w:w="100" w:type="dxa"/>
              <w:end w:w="130" w:type="dxa"/>
            </w:tcMar>
          </w:tcPr>
          <w:p>
            <w:r>
              <w:rPr>
                <w:b/>
              </w:rPr>
              <w:t>Privacy acknowledgement</w:t>
            </w:r>
          </w:p>
        </w:tc>
        <w:tc>
          <w:tcPr>
            <w:tcW w:type="dxa" w:w="3360"/>
            <w:tcMar>
              <w:top w:w="100" w:type="dxa"/>
              <w:start w:w="130" w:type="dxa"/>
              <w:bottom w:w="100" w:type="dxa"/>
              <w:end w:w="130" w:type="dxa"/>
            </w:tcMar>
          </w:tcPr>
          <w:p>
            <w:r>
              <w:t>I acknowledge that I have read the Privacy Notice.</w:t>
            </w:r>
          </w:p>
        </w:tc>
        <w:tc>
          <w:tcPr>
            <w:tcW w:type="dxa" w:w="3360"/>
            <w:tcMar>
              <w:top w:w="100" w:type="dxa"/>
              <w:start w:w="130" w:type="dxa"/>
              <w:bottom w:w="100" w:type="dxa"/>
              <w:end w:w="130" w:type="dxa"/>
            </w:tcMar>
          </w:tcPr>
          <w:p>
            <w:r>
              <w:t>Keeps notice acknowledgement distinct from contractual terms.</w:t>
            </w:r>
          </w:p>
        </w:tc>
      </w:tr>
      <w:tr>
        <w:tc>
          <w:tcPr>
            <w:tcW w:type="dxa" w:w="3360"/>
            <w:tcMar>
              <w:top w:w="100" w:type="dxa"/>
              <w:start w:w="130" w:type="dxa"/>
              <w:bottom w:w="100" w:type="dxa"/>
              <w:end w:w="130" w:type="dxa"/>
            </w:tcMar>
          </w:tcPr>
          <w:p>
            <w:r>
              <w:rPr>
                <w:b/>
              </w:rPr>
              <w:t>Sensitive health-data consent</w:t>
            </w:r>
          </w:p>
        </w:tc>
        <w:tc>
          <w:tcPr>
            <w:tcW w:type="dxa" w:w="3360"/>
            <w:tcMar>
              <w:top w:w="100" w:type="dxa"/>
              <w:start w:w="130" w:type="dxa"/>
              <w:bottom w:w="100" w:type="dxa"/>
              <w:end w:w="130" w:type="dxa"/>
            </w:tcMar>
          </w:tcPr>
          <w:p>
            <w:r>
              <w:t>I expressly consent to SQUARE processing my health and other sensitive personal data for the purposes described in the Privacy Notice.</w:t>
            </w:r>
          </w:p>
        </w:tc>
        <w:tc>
          <w:tcPr>
            <w:tcW w:type="dxa" w:w="3360"/>
            <w:tcMar>
              <w:top w:w="100" w:type="dxa"/>
              <w:start w:w="130" w:type="dxa"/>
              <w:bottom w:w="100" w:type="dxa"/>
              <w:end w:w="130" w:type="dxa"/>
            </w:tcMar>
          </w:tcPr>
          <w:p>
            <w:r>
              <w:t>Separate unticked checkbox; record text version, timestamp and withdrawal route.</w:t>
            </w:r>
          </w:p>
        </w:tc>
      </w:tr>
      <w:tr>
        <w:tc>
          <w:tcPr>
            <w:tcW w:type="dxa" w:w="3360"/>
            <w:tcMar>
              <w:top w:w="100" w:type="dxa"/>
              <w:start w:w="130" w:type="dxa"/>
              <w:bottom w:w="100" w:type="dxa"/>
              <w:end w:w="130" w:type="dxa"/>
            </w:tcMar>
          </w:tcPr>
          <w:p>
            <w:r>
              <w:rPr>
                <w:b/>
              </w:rPr>
              <w:t>Optional research consent</w:t>
            </w:r>
          </w:p>
        </w:tc>
        <w:tc>
          <w:tcPr>
            <w:tcW w:type="dxa" w:w="3360"/>
            <w:tcMar>
              <w:top w:w="100" w:type="dxa"/>
              <w:start w:w="130" w:type="dxa"/>
              <w:bottom w:w="100" w:type="dxa"/>
              <w:end w:w="130" w:type="dxa"/>
            </w:tcMar>
          </w:tcPr>
          <w:p>
            <w:r>
              <w:t>I consent to my coded or de-identified data being used for the specific research purposes described here.</w:t>
            </w:r>
          </w:p>
        </w:tc>
        <w:tc>
          <w:tcPr>
            <w:tcW w:type="dxa" w:w="3360"/>
            <w:tcMar>
              <w:top w:w="100" w:type="dxa"/>
              <w:start w:w="130" w:type="dxa"/>
              <w:bottom w:w="100" w:type="dxa"/>
              <w:end w:w="130" w:type="dxa"/>
            </w:tcMar>
          </w:tcPr>
          <w:p>
            <w:r>
              <w:t>Optional and purpose-specific; do not make core access conditional unless legally justified.</w:t>
            </w:r>
          </w:p>
        </w:tc>
      </w:tr>
      <w:tr>
        <w:tc>
          <w:tcPr>
            <w:tcW w:type="dxa" w:w="3360"/>
            <w:tcMar>
              <w:top w:w="100" w:type="dxa"/>
              <w:start w:w="130" w:type="dxa"/>
              <w:bottom w:w="100" w:type="dxa"/>
              <w:end w:w="130" w:type="dxa"/>
            </w:tcMar>
          </w:tcPr>
          <w:p>
            <w:r>
              <w:rPr>
                <w:b/>
              </w:rPr>
              <w:t>Optional marketing consent</w:t>
            </w:r>
          </w:p>
        </w:tc>
        <w:tc>
          <w:tcPr>
            <w:tcW w:type="dxa" w:w="3360"/>
            <w:tcMar>
              <w:top w:w="100" w:type="dxa"/>
              <w:start w:w="130" w:type="dxa"/>
              <w:bottom w:w="100" w:type="dxa"/>
              <w:end w:w="130" w:type="dxa"/>
            </w:tcMar>
          </w:tcPr>
          <w:p>
            <w:r>
              <w:t>I agree to receive health updates and marketing communications.</w:t>
            </w:r>
          </w:p>
        </w:tc>
        <w:tc>
          <w:tcPr>
            <w:tcW w:type="dxa" w:w="3360"/>
            <w:tcMar>
              <w:top w:w="100" w:type="dxa"/>
              <w:start w:w="130" w:type="dxa"/>
              <w:bottom w:w="100" w:type="dxa"/>
              <w:end w:w="130" w:type="dxa"/>
            </w:tcMar>
          </w:tcPr>
          <w:p>
            <w:r>
              <w:t>Optional and separately withdrawable.</w:t>
            </w:r>
          </w:p>
        </w:tc>
      </w:tr>
      <w:tr>
        <w:tc>
          <w:tcPr>
            <w:tcW w:type="dxa" w:w="3360"/>
            <w:tcMar>
              <w:top w:w="100" w:type="dxa"/>
              <w:start w:w="130" w:type="dxa"/>
              <w:bottom w:w="100" w:type="dxa"/>
              <w:end w:w="130" w:type="dxa"/>
            </w:tcMar>
          </w:tcPr>
          <w:p>
            <w:r>
              <w:rPr>
                <w:b/>
              </w:rPr>
              <w:t>Primary action</w:t>
            </w:r>
          </w:p>
        </w:tc>
        <w:tc>
          <w:tcPr>
            <w:tcW w:type="dxa" w:w="3360"/>
            <w:tcMar>
              <w:top w:w="100" w:type="dxa"/>
              <w:start w:w="130" w:type="dxa"/>
              <w:bottom w:w="100" w:type="dxa"/>
              <w:end w:w="130" w:type="dxa"/>
            </w:tcMar>
          </w:tcPr>
          <w:p>
            <w:r>
              <w:t>Accept and Continue</w:t>
            </w:r>
          </w:p>
        </w:tc>
        <w:tc>
          <w:tcPr>
            <w:tcW w:type="dxa" w:w="3360"/>
            <w:tcMar>
              <w:top w:w="100" w:type="dxa"/>
              <w:start w:w="130" w:type="dxa"/>
              <w:bottom w:w="100" w:type="dxa"/>
              <w:end w:w="130" w:type="dxa"/>
            </w:tcMar>
          </w:tcPr>
          <w:p>
            <w:r>
              <w:t>Disabled until required controls are completed.</w:t>
            </w:r>
          </w:p>
        </w:tc>
      </w:tr>
      <w:tr>
        <w:tc>
          <w:tcPr>
            <w:tcW w:type="dxa" w:w="3360"/>
            <w:tcMar>
              <w:top w:w="100" w:type="dxa"/>
              <w:start w:w="130" w:type="dxa"/>
              <w:bottom w:w="100" w:type="dxa"/>
              <w:end w:w="130" w:type="dxa"/>
            </w:tcMar>
          </w:tcPr>
          <w:p>
            <w:r>
              <w:rPr>
                <w:b/>
              </w:rPr>
              <w:t>Download</w:t>
            </w:r>
          </w:p>
        </w:tc>
        <w:tc>
          <w:tcPr>
            <w:tcW w:type="dxa" w:w="3360"/>
            <w:tcMar>
              <w:top w:w="100" w:type="dxa"/>
              <w:start w:w="130" w:type="dxa"/>
              <w:bottom w:w="100" w:type="dxa"/>
              <w:end w:w="130" w:type="dxa"/>
            </w:tcMar>
          </w:tcPr>
          <w:p>
            <w:r>
              <w:t>Download PDF</w:t>
            </w:r>
          </w:p>
        </w:tc>
        <w:tc>
          <w:tcPr>
            <w:tcW w:type="dxa" w:w="3360"/>
            <w:tcMar>
              <w:top w:w="100" w:type="dxa"/>
              <w:start w:w="130" w:type="dxa"/>
              <w:bottom w:w="100" w:type="dxa"/>
              <w:end w:w="130" w:type="dxa"/>
            </w:tcMar>
          </w:tcPr>
          <w:p>
            <w:r>
              <w:t>Serve the exact accepted version and retain version history.</w:t>
            </w:r>
          </w:p>
        </w:tc>
      </w:tr>
      <w:tr>
        <w:tc>
          <w:tcPr>
            <w:tcW w:type="dxa" w:w="3360"/>
            <w:tcMar>
              <w:top w:w="100" w:type="dxa"/>
              <w:start w:w="130" w:type="dxa"/>
              <w:bottom w:w="100" w:type="dxa"/>
              <w:end w:w="130" w:type="dxa"/>
            </w:tcMar>
          </w:tcPr>
          <w:p>
            <w:r>
              <w:rPr>
                <w:b/>
              </w:rPr>
              <w:t>Acceptance log</w:t>
            </w:r>
          </w:p>
        </w:tc>
        <w:tc>
          <w:tcPr>
            <w:tcW w:type="dxa" w:w="3360"/>
            <w:tcMar>
              <w:top w:w="100" w:type="dxa"/>
              <w:start w:w="130" w:type="dxa"/>
              <w:bottom w:w="100" w:type="dxa"/>
              <w:end w:w="130" w:type="dxa"/>
            </w:tcMar>
          </w:tcPr>
          <w:p>
            <w:r>
              <w:t>User/account ID; Terms version; Privacy version; consent wording/version; UTC timestamp; locale; method; withdrawal event.</w:t>
            </w:r>
          </w:p>
        </w:tc>
        <w:tc>
          <w:tcPr>
            <w:tcW w:type="dxa" w:w="3360"/>
            <w:tcMar>
              <w:top w:w="100" w:type="dxa"/>
              <w:start w:w="130" w:type="dxa"/>
              <w:bottom w:w="100" w:type="dxa"/>
              <w:end w:w="130" w:type="dxa"/>
            </w:tcMar>
          </w:tcPr>
          <w:p>
            <w:r>
              <w:t>Supports auditability without relying only on the current document.</w:t>
            </w:r>
          </w:p>
        </w:tc>
      </w:tr>
      <w:tr>
        <w:tc>
          <w:tcPr>
            <w:tcW w:type="dxa" w:w="3360"/>
            <w:tcMar>
              <w:top w:w="100" w:type="dxa"/>
              <w:start w:w="130" w:type="dxa"/>
              <w:bottom w:w="100" w:type="dxa"/>
              <w:end w:w="130" w:type="dxa"/>
            </w:tcMar>
          </w:tcPr>
          <w:p>
            <w:r>
              <w:rPr>
                <w:b/>
              </w:rPr>
              <w:t>Emergency banner</w:t>
            </w:r>
          </w:p>
        </w:tc>
        <w:tc>
          <w:tcPr>
            <w:tcW w:type="dxa" w:w="3360"/>
            <w:tcMar>
              <w:top w:w="100" w:type="dxa"/>
              <w:start w:w="130" w:type="dxa"/>
              <w:bottom w:w="100" w:type="dxa"/>
              <w:end w:w="130" w:type="dxa"/>
            </w:tcMar>
          </w:tcPr>
          <w:p>
            <w:r>
              <w:t>SQUARE is not an emergency service. For an emergency in Malaysia, call 999 or attend the nearest emergency department.</w:t>
            </w:r>
          </w:p>
        </w:tc>
        <w:tc>
          <w:tcPr>
            <w:tcW w:type="dxa" w:w="3360"/>
            <w:tcMar>
              <w:top w:w="100" w:type="dxa"/>
              <w:start w:w="130" w:type="dxa"/>
              <w:bottom w:w="100" w:type="dxa"/>
              <w:end w:w="130" w:type="dxa"/>
            </w:tcMar>
          </w:tcPr>
          <w:p>
            <w:r>
              <w:t>Persistent, prominent and not hidden inside legal text.</w:t>
            </w:r>
          </w:p>
        </w:tc>
      </w:tr>
    </w:tbl>
    <w:p>
      <w:pPr>
        <w:pStyle w:val="Heading1"/>
      </w:pPr>
      <w:r>
        <w:t>Pre-launch legal completion checklist</w:t>
      </w:r>
    </w:p>
    <w:p>
      <w:pPr>
        <w:pStyle w:val="ListBullet"/>
        <w:spacing w:after="120" w:line="259" w:lineRule="auto"/>
        <w:ind w:left="346"/>
      </w:pPr>
      <w:r>
        <w:t>Insert the operator’s registered name, company number, registered/business address and monitored contact channels.</w:t>
      </w:r>
    </w:p>
    <w:p>
      <w:pPr>
        <w:pStyle w:val="ListBullet"/>
        <w:spacing w:after="120" w:line="259" w:lineRule="auto"/>
        <w:ind w:left="346"/>
      </w:pPr>
      <w:r>
        <w:t>Publish a separate bilingual Privacy Notice appropriate to the actual processing, recipients, retention, cross-border hosting, user rights and complaint route.</w:t>
      </w:r>
    </w:p>
    <w:p>
      <w:pPr>
        <w:pStyle w:val="ListBullet"/>
        <w:spacing w:after="120" w:line="259" w:lineRule="auto"/>
        <w:ind w:left="346"/>
      </w:pPr>
      <w:r>
        <w:t>Map the service boundary: automated wellness information versus any separately contracted medical consultation, prescription, laboratory or pharmacy activity.</w:t>
      </w:r>
    </w:p>
    <w:p>
      <w:pPr>
        <w:pStyle w:val="ListBullet"/>
        <w:spacing w:after="120" w:line="259" w:lineRule="auto"/>
        <w:ind w:left="346"/>
      </w:pPr>
      <w:r>
        <w:t>Confirm age policy, supported territory, consumer refund rules, payment processor terms and subscription cancellation flow.</w:t>
      </w:r>
    </w:p>
    <w:p>
      <w:pPr>
        <w:pStyle w:val="ListBullet"/>
        <w:spacing w:after="120" w:line="259" w:lineRule="auto"/>
        <w:ind w:left="346"/>
      </w:pPr>
      <w:r>
        <w:t>Document each calculator, source guideline, version, eligible population, exclusions, update owner and clinical escalation rule.</w:t>
      </w:r>
    </w:p>
    <w:p>
      <w:pPr>
        <w:pStyle w:val="ListBullet"/>
        <w:spacing w:after="120" w:line="259" w:lineRule="auto"/>
        <w:ind w:left="346"/>
      </w:pPr>
      <w:r>
        <w:t>Complete data-protection impact, security, processor, breach-response, retention and deletion arrangements; assess DPO and data-controller registration obligations.</w:t>
      </w:r>
    </w:p>
    <w:p>
      <w:pPr>
        <w:pStyle w:val="ListBullet"/>
        <w:spacing w:after="120" w:line="259" w:lineRule="auto"/>
        <w:ind w:left="346"/>
      </w:pPr>
      <w:r>
        <w:t>Review professional referral contracts, conflict/commission disclosures, insurance and clinical governance.</w:t>
      </w:r>
    </w:p>
    <w:p>
      <w:pPr>
        <w:pStyle w:val="ListBullet"/>
        <w:spacing w:after="120" w:line="259" w:lineRule="auto"/>
        <w:ind w:left="346"/>
      </w:pPr>
      <w:r>
        <w:t>Have Malaysian counsel approve the liability, dispute, consumer-law, intellectual-property and consent clauses before launch.</w:t>
      </w:r>
    </w:p>
    <w:p>
      <w:pPr>
        <w:pStyle w:val="Heading1"/>
      </w:pPr>
      <w:r>
        <w:t>Drafting references (not incorporated as legal advice)</w:t>
      </w:r>
    </w:p>
    <w:p>
      <w:pPr>
        <w:pStyle w:val="ListBullet"/>
        <w:spacing w:after="120" w:line="259" w:lineRule="auto"/>
      </w:pPr>
      <w:r>
        <w:t>Personal Data Protection Department, Malaysia: Personal Data Protection Act 2010 (Act 709), Amendment Act 2024, official guidance and circulars.</w:t>
      </w:r>
    </w:p>
    <w:p>
      <w:pPr>
        <w:pStyle w:val="ListBullet"/>
        <w:spacing w:after="120" w:line="259" w:lineRule="auto"/>
      </w:pPr>
      <w:r>
        <w:t>Personal Data Protection Department FAQ: health information is sensitive personal data; processing generally requires express consent and is subject to data-protection principles and data-subject rights.</w:t>
      </w:r>
    </w:p>
    <w:p>
      <w:pPr>
        <w:pStyle w:val="ListBullet"/>
        <w:spacing w:after="120" w:line="259" w:lineRule="auto"/>
      </w:pPr>
      <w:r>
        <w:t>Malaysian Medical Council: Medical Act 1971, Good Medical Practice, Confidentiality Guidelines, Consent guidance, Telemedicine Guideline and Ethical Use of Artificial Intelligence in Medical Practice Guideline.</w:t>
      </w:r>
    </w:p>
    <w:p>
      <w:pPr>
        <w:pStyle w:val="ListBullet"/>
        <w:spacing w:after="120" w:line="259" w:lineRule="auto"/>
      </w:pPr>
      <w:r>
        <w:t>Applicable Malaysian consumer, electronic-commerce and contract laws, to be confirmed and applied by local counsel to the final operating and payment model.</w:t>
      </w:r>
    </w:p>
    <w:tbl>
      <w:tblPr>
        <w:tblW w:type="auto" w:w="0"/>
        <w:jc w:val="center"/>
        <w:tblLook w:firstColumn="1" w:firstRow="1" w:lastColumn="0" w:lastRow="0" w:noHBand="0" w:noVBand="1" w:val="04A0"/>
      </w:tblPr>
      <w:tblGrid>
        <w:gridCol w:w="10080"/>
      </w:tblGrid>
      <w:tr>
        <w:tc>
          <w:tcPr>
            <w:tcW w:type="dxa" w:w="10080"/>
            <w:shd w:fill="FFF4D6"/>
            <w:tcMar>
              <w:top w:w="150" w:type="dxa"/>
              <w:start w:w="180" w:type="dxa"/>
              <w:bottom w:w="150" w:type="dxa"/>
              <w:end w:w="180" w:type="dxa"/>
            </w:tcMar>
          </w:tcPr>
          <w:p>
            <w:r>
              <w:rPr>
                <w:b/>
                <w:color w:val="0B2A6F"/>
              </w:rPr>
              <w:t>Draft status</w:t>
            </w:r>
          </w:p>
          <w:p>
            <w:pPr>
              <w:spacing w:after="0"/>
            </w:pPr>
            <w:r>
              <w:t>Prepared 30 August 2026 from the SQUARE product concept and onboarding design. This document is not legal advice and is not ready for publication until the highlighted placeholders and pre-launch checklist have been completed and Malaysian legal counsel has approved the final text.</w:t>
            </w:r>
          </w:p>
        </w:tc>
      </w:tr>
    </w:tbl>
    <w:p>
      <w:pPr>
        <w:spacing w:after="20"/>
      </w:pP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5040"/>
      <w:gridCol w:w="5040"/>
    </w:tblGrid>
    <w:tr>
      <w:tc>
        <w:tcPr>
          <w:tcW w:type="dxa" w:w="5040"/>
        </w:tcPr>
        <w:p>
          <w:r>
            <w:rPr>
              <w:sz w:val="15"/>
            </w:rPr>
            <w:t>SQUARE Terms and Conditions | Draft for legal review</w:t>
          </w:r>
        </w:p>
      </w:tc>
      <w:tc>
        <w:tcPr>
          <w:tcW w:type="dxa" w:w="5040"/>
        </w:tcPr>
        <w:p>
          <w:pPr>
            <w:jc w:val="right"/>
          </w:pPr>
          <w:r>
            <w:rPr>
              <w:sz w:val="15"/>
            </w:rPr>
            <w:t xml:space="preserve">Page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6480"/>
      <w:gridCol w:w="3600"/>
    </w:tblGrid>
    <w:tr>
      <w:tc>
        <w:tcPr>
          <w:tcW w:type="dxa" w:w="5040"/>
        </w:tcPr>
        <w:p>
          <w:r>
            <w:rPr>
              <w:b/>
              <w:color w:val="0B2A6F"/>
              <w:sz w:val="34"/>
            </w:rPr>
            <w:t>SQUARE</w:t>
          </w:r>
          <w:r>
            <w:rPr>
              <w:color w:val="007F8F"/>
              <w:sz w:val="15"/>
            </w:rPr>
            <w:br/>
            <w:t>Smart Analysis. Vital Insights. Relevant Action.</w:t>
          </w:r>
        </w:p>
      </w:tc>
      <w:tc>
        <w:tcPr>
          <w:tcW w:type="dxa" w:w="5040"/>
        </w:tcPr>
        <w:p>
          <w:pPr>
            <w:jc w:val="right"/>
          </w:pPr>
          <w:r>
            <w:rPr>
              <w:b/>
              <w:color w:val="5A677A"/>
              <w:sz w:val="16"/>
            </w:rPr>
            <w:t>LEGAL DRAFT  |  VERSION 1.0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B2A6F"/>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007F8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2A6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SQUARE Terms and Conditions - Draft</dc:title>
  <dc:subject>Terms and Conditions and onboarding implementation sheet</dc:subject>
  <dc:creator>SQUARE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