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Your consent, your choice</w:t>
      </w:r>
    </w:p>
    <w:p>
      <w:pPr>
        <w:pStyle w:val="Subtitle"/>
        <w:keepLines/>
      </w:pPr>
      <w:r>
        <w:t>USER CONSENT AND ACKNOWLEDGEMENT DRAFT</w:t>
      </w:r>
    </w:p>
    <w:tbl>
      <w:tblPr>
        <w:tblW w:type="auto" w:w="0"/>
        <w:jc w:val="center"/>
        <w:tblLayout w:type="fixed"/>
        <w:tblLook w:firstColumn="1" w:firstRow="1" w:lastColumn="0" w:lastRow="0" w:noHBand="0" w:noVBand="1" w:val="04A0"/>
        <w:tblBorders>
          <w:top w:val="single" w:sz="8" w:color="A9D5D6"/>
          <w:left w:val="single" w:sz="8" w:color="A9D5D6"/>
          <w:bottom w:val="single" w:sz="8" w:color="A9D5D6"/>
          <w:right w:val="single" w:sz="8" w:color="A9D5D6"/>
          <w:insideH w:val="single" w:sz="8" w:color="A9D5D6"/>
          <w:insideV w:val="single" w:sz="8" w:color="A9D5D6"/>
        </w:tblBorders>
      </w:tblPr>
      <w:tblGrid>
        <w:gridCol w:w="9720"/>
      </w:tblGrid>
      <w:tr>
        <w:tc>
          <w:tcPr>
            <w:tcW w:type="dxa" w:w="9878"/>
            <w:shd w:fill="EAF7F6"/>
            <w:tcMar>
              <w:top w:w="140" w:type="dxa"/>
              <w:start w:w="170" w:type="dxa"/>
              <w:bottom w:w="140" w:type="dxa"/>
              <w:end w:w="170" w:type="dxa"/>
            </w:tcMar>
            <w:vAlign w:val="center"/>
          </w:tcPr>
          <w:p>
            <w:pPr>
              <w:keepLines/>
            </w:pPr>
            <w:r>
              <w:rPr>
                <w:rFonts w:ascii="Aptos" w:hAnsi="Aptos" w:eastAsia="Aptos"/>
                <w:b/>
                <w:i w:val="0"/>
                <w:color w:val="008C95"/>
                <w:sz w:val="18"/>
              </w:rPr>
              <w:t>DRAFT FOR REVIEW</w:t>
            </w:r>
          </w:p>
          <w:p>
            <w:pPr>
              <w:spacing w:after="0"/>
              <w:keepLines/>
            </w:pPr>
            <w:r>
              <w:rPr>
                <w:rFonts w:ascii="Aptos" w:hAnsi="Aptos" w:eastAsia="Aptos"/>
                <w:b w:val="0"/>
                <w:i w:val="0"/>
                <w:color w:val="182033"/>
                <w:sz w:val="19"/>
              </w:rPr>
              <w:t>This document is a product and legal drafting aid. Replace every [bracketed placeholder] and obtain review by Malaysian legal, privacy and clinical-governance advisers before launch.</w:t>
            </w:r>
          </w:p>
        </w:tc>
      </w:tr>
    </w:tbl>
    <w:p>
      <w:pPr>
        <w:pStyle w:val="Heading1"/>
        <w:keepLines/>
      </w:pPr>
      <w:r>
        <w:t>1. About this consent</w:t>
      </w:r>
    </w:p>
    <w:p>
      <w:pPr>
        <w:keepLines/>
      </w:pPr>
      <w:r>
        <w:t>This User Consent and Acknowledgement explains how [full legal entity name] ("SQUARE", "we", "us" or "our") will process the information you provide when you create an account, upload or enter health information, and use the SQUARE platform. It also explains what SQUARE can and cannot do, your choices, and how to contact us.</w:t>
      </w:r>
    </w:p>
    <w:p>
      <w:pPr>
        <w:keepLines/>
      </w:pPr>
      <w:r>
        <w:t>Please read this document together with the SQUARE Privacy Notice and Terms and Conditions. If there is any inconsistency about personal-data handling, the Privacy Notice should provide the fuller operational detail, while this document records your express choices.</w:t>
      </w:r>
    </w:p>
    <w:p>
      <w:pPr>
        <w:pStyle w:val="Heading1"/>
        <w:keepLines/>
      </w:pPr>
      <w:r>
        <w:t>2. Consent summary</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088"/>
        <w:gridCol w:w="5688"/>
        <w:gridCol w:w="1944"/>
      </w:tblGrid>
      <w:tr>
        <w:trPr>
          <w:tblHeader w:val="true"/>
        </w:trPr>
        <w:tc>
          <w:tcPr>
            <w:tcW w:type="dxa" w:w="3293"/>
            <w:shd w:fill="102A72"/>
            <w:tcMar>
              <w:top w:w="90" w:type="dxa"/>
              <w:start w:w="120" w:type="dxa"/>
              <w:bottom w:w="90" w:type="dxa"/>
              <w:end w:w="120" w:type="dxa"/>
            </w:tcMar>
            <w:vAlign w:val="center"/>
          </w:tcPr>
          <w:p>
            <w:pPr>
              <w:keepLines/>
            </w:pPr>
            <w:r>
              <w:rPr>
                <w:rFonts w:ascii="Aptos" w:hAnsi="Aptos" w:eastAsia="Aptos"/>
                <w:b/>
                <w:i w:val="0"/>
                <w:color w:val="FFFFFF"/>
                <w:sz w:val="18"/>
              </w:rPr>
              <w:t>Choice</w:t>
            </w:r>
          </w:p>
        </w:tc>
        <w:tc>
          <w:tcPr>
            <w:tcW w:type="dxa" w:w="3293"/>
            <w:shd w:fill="102A72"/>
            <w:tcMar>
              <w:top w:w="90" w:type="dxa"/>
              <w:start w:w="120" w:type="dxa"/>
              <w:bottom w:w="90" w:type="dxa"/>
              <w:end w:w="120" w:type="dxa"/>
            </w:tcMar>
            <w:vAlign w:val="center"/>
          </w:tcPr>
          <w:p>
            <w:pPr>
              <w:keepLines/>
            </w:pPr>
            <w:r>
              <w:rPr>
                <w:rFonts w:ascii="Aptos" w:hAnsi="Aptos" w:eastAsia="Aptos"/>
                <w:b/>
                <w:i w:val="0"/>
                <w:color w:val="FFFFFF"/>
                <w:sz w:val="18"/>
              </w:rPr>
              <w:t>What it covers</w:t>
            </w:r>
          </w:p>
        </w:tc>
        <w:tc>
          <w:tcPr>
            <w:tcW w:type="dxa" w:w="3293"/>
            <w:shd w:fill="102A72"/>
            <w:tcMar>
              <w:top w:w="90" w:type="dxa"/>
              <w:start w:w="120" w:type="dxa"/>
              <w:bottom w:w="90" w:type="dxa"/>
              <w:end w:w="120" w:type="dxa"/>
            </w:tcMar>
            <w:vAlign w:val="center"/>
          </w:tcPr>
          <w:p>
            <w:pPr>
              <w:keepLines/>
            </w:pPr>
            <w:r>
              <w:rPr>
                <w:rFonts w:ascii="Aptos" w:hAnsi="Aptos" w:eastAsia="Aptos"/>
                <w:b/>
                <w:i w:val="0"/>
                <w:color w:val="FFFFFF"/>
                <w:sz w:val="18"/>
              </w:rPr>
              <w:t>Effect of saying no</w:t>
            </w:r>
          </w:p>
        </w:tc>
      </w:tr>
      <w:tr>
        <w:tc>
          <w:tcPr>
            <w:tcW w:type="dxa" w:w="2088"/>
            <w:tcMar>
              <w:top w:w="90" w:type="dxa"/>
              <w:start w:w="120" w:type="dxa"/>
              <w:bottom w:w="90" w:type="dxa"/>
              <w:end w:w="120" w:type="dxa"/>
            </w:tcMar>
            <w:shd w:fill="EEF5FB"/>
            <w:vAlign w:val="center"/>
          </w:tcPr>
          <w:p>
            <w:pPr>
              <w:keepLines/>
            </w:pPr>
            <w:r>
              <w:rPr>
                <w:rFonts w:ascii="Aptos" w:hAnsi="Aptos" w:eastAsia="Aptos"/>
                <w:b/>
                <w:i w:val="0"/>
                <w:color w:val="102A72"/>
                <w:sz w:val="17"/>
              </w:rPr>
              <w:t>Required</w:t>
            </w:r>
          </w:p>
        </w:tc>
        <w:tc>
          <w:tcPr>
            <w:tcW w:type="dxa" w:w="5688"/>
            <w:tcMar>
              <w:top w:w="90" w:type="dxa"/>
              <w:start w:w="120" w:type="dxa"/>
              <w:bottom w:w="90" w:type="dxa"/>
              <w:end w:w="120" w:type="dxa"/>
            </w:tcMar>
            <w:shd w:fill="EEF5FB"/>
            <w:vAlign w:val="center"/>
          </w:tcPr>
          <w:p>
            <w:pPr>
              <w:keepLines/>
            </w:pPr>
            <w:r>
              <w:rPr>
                <w:rFonts w:ascii="Aptos" w:hAnsi="Aptos" w:eastAsia="Aptos"/>
                <w:b w:val="0"/>
                <w:i w:val="0"/>
                <w:color w:val="182033"/>
                <w:sz w:val="17"/>
              </w:rPr>
              <w:t>Process my health information</w:t>
            </w:r>
          </w:p>
        </w:tc>
        <w:tc>
          <w:tcPr>
            <w:tcW w:type="dxa" w:w="1944"/>
            <w:tcMar>
              <w:top w:w="90" w:type="dxa"/>
              <w:start w:w="120" w:type="dxa"/>
              <w:bottom w:w="90" w:type="dxa"/>
              <w:end w:w="120" w:type="dxa"/>
            </w:tcMar>
            <w:shd w:fill="EEF5FB"/>
            <w:vAlign w:val="center"/>
          </w:tcPr>
          <w:p>
            <w:pPr>
              <w:keepLines/>
            </w:pPr>
            <w:r>
              <w:rPr>
                <w:rFonts w:ascii="Aptos" w:hAnsi="Aptos" w:eastAsia="Aptos"/>
                <w:b w:val="0"/>
                <w:i w:val="0"/>
                <w:color w:val="182033"/>
                <w:sz w:val="17"/>
              </w:rPr>
              <w:t>SQUARE cannot provide its analysis and guidance service.</w:t>
            </w:r>
          </w:p>
        </w:tc>
      </w:tr>
      <w:tr>
        <w:tc>
          <w:tcPr>
            <w:tcW w:type="dxa" w:w="2088"/>
            <w:tcMar>
              <w:top w:w="90" w:type="dxa"/>
              <w:start w:w="120" w:type="dxa"/>
              <w:bottom w:w="90" w:type="dxa"/>
              <w:end w:w="120" w:type="dxa"/>
            </w:tcMar>
            <w:shd w:fill="EEF5FB"/>
            <w:vAlign w:val="center"/>
          </w:tcPr>
          <w:p>
            <w:pPr>
              <w:keepLines/>
            </w:pPr>
            <w:r>
              <w:rPr>
                <w:rFonts w:ascii="Aptos" w:hAnsi="Aptos" w:eastAsia="Aptos"/>
                <w:b/>
                <w:i w:val="0"/>
                <w:color w:val="102A72"/>
                <w:sz w:val="17"/>
              </w:rPr>
              <w:t>Required</w:t>
            </w:r>
          </w:p>
        </w:tc>
        <w:tc>
          <w:tcPr>
            <w:tcW w:type="dxa" w:w="5688"/>
            <w:tcMar>
              <w:top w:w="90" w:type="dxa"/>
              <w:start w:w="120" w:type="dxa"/>
              <w:bottom w:w="90" w:type="dxa"/>
              <w:end w:w="120" w:type="dxa"/>
            </w:tcMar>
            <w:shd w:fill="EEF5FB"/>
            <w:vAlign w:val="center"/>
          </w:tcPr>
          <w:p>
            <w:pPr>
              <w:keepLines/>
            </w:pPr>
            <w:r>
              <w:rPr>
                <w:rFonts w:ascii="Aptos" w:hAnsi="Aptos" w:eastAsia="Aptos"/>
                <w:b w:val="0"/>
                <w:i w:val="0"/>
                <w:color w:val="182033"/>
                <w:sz w:val="17"/>
              </w:rPr>
              <w:t>Non-diagnostic platform acknowledgement</w:t>
            </w:r>
          </w:p>
        </w:tc>
        <w:tc>
          <w:tcPr>
            <w:tcW w:type="dxa" w:w="1944"/>
            <w:tcMar>
              <w:top w:w="90" w:type="dxa"/>
              <w:start w:w="120" w:type="dxa"/>
              <w:bottom w:w="90" w:type="dxa"/>
              <w:end w:w="120" w:type="dxa"/>
            </w:tcMar>
            <w:shd w:fill="EEF5FB"/>
            <w:vAlign w:val="center"/>
          </w:tcPr>
          <w:p>
            <w:pPr>
              <w:keepLines/>
            </w:pPr>
            <w:r>
              <w:rPr>
                <w:rFonts w:ascii="Aptos" w:hAnsi="Aptos" w:eastAsia="Aptos"/>
                <w:b w:val="0"/>
                <w:i w:val="0"/>
                <w:color w:val="182033"/>
                <w:sz w:val="17"/>
              </w:rPr>
              <w:t>SQUARE cannot provide the service without this safety acknowledgement.</w:t>
            </w:r>
          </w:p>
        </w:tc>
      </w:tr>
      <w:tr>
        <w:tc>
          <w:tcPr>
            <w:tcW w:type="dxa" w:w="2088"/>
            <w:tcMar>
              <w:top w:w="90" w:type="dxa"/>
              <w:start w:w="120" w:type="dxa"/>
              <w:bottom w:w="90" w:type="dxa"/>
              <w:end w:w="120" w:type="dxa"/>
            </w:tcMar>
            <w:shd w:fill="EEF5FB"/>
            <w:vAlign w:val="center"/>
          </w:tcPr>
          <w:p>
            <w:pPr>
              <w:keepLines/>
            </w:pPr>
            <w:r>
              <w:rPr>
                <w:rFonts w:ascii="Aptos" w:hAnsi="Aptos" w:eastAsia="Aptos"/>
                <w:b/>
                <w:i w:val="0"/>
                <w:color w:val="102A72"/>
                <w:sz w:val="17"/>
              </w:rPr>
              <w:t>Required</w:t>
            </w:r>
          </w:p>
        </w:tc>
        <w:tc>
          <w:tcPr>
            <w:tcW w:type="dxa" w:w="5688"/>
            <w:tcMar>
              <w:top w:w="90" w:type="dxa"/>
              <w:start w:w="120" w:type="dxa"/>
              <w:bottom w:w="90" w:type="dxa"/>
              <w:end w:w="120" w:type="dxa"/>
            </w:tcMar>
            <w:shd w:fill="EEF5FB"/>
            <w:vAlign w:val="center"/>
          </w:tcPr>
          <w:p>
            <w:pPr>
              <w:keepLines/>
            </w:pPr>
            <w:r>
              <w:rPr>
                <w:rFonts w:ascii="Aptos" w:hAnsi="Aptos" w:eastAsia="Aptos"/>
                <w:b w:val="0"/>
                <w:i w:val="0"/>
                <w:color w:val="182033"/>
                <w:sz w:val="17"/>
              </w:rPr>
              <w:t>Professional-care acknowledgement</w:t>
            </w:r>
          </w:p>
        </w:tc>
        <w:tc>
          <w:tcPr>
            <w:tcW w:type="dxa" w:w="1944"/>
            <w:tcMar>
              <w:top w:w="90" w:type="dxa"/>
              <w:start w:w="120" w:type="dxa"/>
              <w:bottom w:w="90" w:type="dxa"/>
              <w:end w:w="120" w:type="dxa"/>
            </w:tcMar>
            <w:shd w:fill="EEF5FB"/>
            <w:vAlign w:val="center"/>
          </w:tcPr>
          <w:p>
            <w:pPr>
              <w:keepLines/>
            </w:pPr>
            <w:r>
              <w:rPr>
                <w:rFonts w:ascii="Aptos" w:hAnsi="Aptos" w:eastAsia="Aptos"/>
                <w:b w:val="0"/>
                <w:i w:val="0"/>
                <w:color w:val="182033"/>
                <w:sz w:val="17"/>
              </w:rPr>
              <w:t>SQUARE cannot provide the service without this safety acknowledgement.</w:t>
            </w:r>
          </w:p>
        </w:tc>
      </w:tr>
      <w:tr>
        <w:tc>
          <w:tcPr>
            <w:tcW w:type="dxa" w:w="2088"/>
            <w:tcMar>
              <w:top w:w="90" w:type="dxa"/>
              <w:start w:w="120" w:type="dxa"/>
              <w:bottom w:w="90" w:type="dxa"/>
              <w:end w:w="120" w:type="dxa"/>
            </w:tcMar>
            <w:shd w:fill="FFFFFF"/>
            <w:vAlign w:val="center"/>
          </w:tcPr>
          <w:p>
            <w:pPr>
              <w:keepLines/>
            </w:pPr>
            <w:r>
              <w:rPr>
                <w:rFonts w:ascii="Aptos" w:hAnsi="Aptos" w:eastAsia="Aptos"/>
                <w:b/>
                <w:i w:val="0"/>
                <w:color w:val="102A72"/>
                <w:sz w:val="17"/>
              </w:rPr>
              <w:t>Optional</w:t>
            </w:r>
          </w:p>
        </w:tc>
        <w:tc>
          <w:tcPr>
            <w:tcW w:type="dxa" w:w="5688"/>
            <w:tcMar>
              <w:top w:w="90" w:type="dxa"/>
              <w:start w:w="120" w:type="dxa"/>
              <w:bottom w:w="90" w:type="dxa"/>
              <w:end w:w="120" w:type="dxa"/>
            </w:tcMar>
            <w:shd w:fill="FFFFFF"/>
            <w:vAlign w:val="center"/>
          </w:tcPr>
          <w:p>
            <w:pPr>
              <w:keepLines/>
            </w:pPr>
            <w:r>
              <w:rPr>
                <w:rFonts w:ascii="Aptos" w:hAnsi="Aptos" w:eastAsia="Aptos"/>
                <w:b w:val="0"/>
                <w:i w:val="0"/>
                <w:color w:val="182033"/>
                <w:sz w:val="17"/>
              </w:rPr>
              <w:t>Contribute de-identified data to health research</w:t>
            </w:r>
          </w:p>
        </w:tc>
        <w:tc>
          <w:tcPr>
            <w:tcW w:type="dxa" w:w="1944"/>
            <w:tcMar>
              <w:top w:w="90" w:type="dxa"/>
              <w:start w:w="120" w:type="dxa"/>
              <w:bottom w:w="90" w:type="dxa"/>
              <w:end w:w="120" w:type="dxa"/>
            </w:tcMar>
            <w:shd w:fill="FFFFFF"/>
            <w:vAlign w:val="center"/>
          </w:tcPr>
          <w:p>
            <w:pPr>
              <w:keepLines/>
            </w:pPr>
            <w:r>
              <w:rPr>
                <w:rFonts w:ascii="Aptos" w:hAnsi="Aptos" w:eastAsia="Aptos"/>
                <w:b w:val="0"/>
                <w:i w:val="0"/>
                <w:color w:val="182033"/>
                <w:sz w:val="17"/>
              </w:rPr>
              <w:t>No effect on platform access or core service.</w:t>
            </w:r>
          </w:p>
        </w:tc>
      </w:tr>
      <w:tr>
        <w:tc>
          <w:tcPr>
            <w:tcW w:type="dxa" w:w="2088"/>
            <w:tcMar>
              <w:top w:w="90" w:type="dxa"/>
              <w:start w:w="120" w:type="dxa"/>
              <w:bottom w:w="90" w:type="dxa"/>
              <w:end w:w="120" w:type="dxa"/>
            </w:tcMar>
            <w:shd w:fill="FFFFFF"/>
            <w:vAlign w:val="center"/>
          </w:tcPr>
          <w:p>
            <w:pPr>
              <w:keepLines/>
            </w:pPr>
            <w:r>
              <w:rPr>
                <w:rFonts w:ascii="Aptos" w:hAnsi="Aptos" w:eastAsia="Aptos"/>
                <w:b/>
                <w:i w:val="0"/>
                <w:color w:val="102A72"/>
                <w:sz w:val="17"/>
              </w:rPr>
              <w:t>Optional</w:t>
            </w:r>
          </w:p>
        </w:tc>
        <w:tc>
          <w:tcPr>
            <w:tcW w:type="dxa" w:w="5688"/>
            <w:tcMar>
              <w:top w:w="90" w:type="dxa"/>
              <w:start w:w="120" w:type="dxa"/>
              <w:bottom w:w="90" w:type="dxa"/>
              <w:end w:w="120" w:type="dxa"/>
            </w:tcMar>
            <w:shd w:fill="FFFFFF"/>
            <w:vAlign w:val="center"/>
          </w:tcPr>
          <w:p>
            <w:pPr>
              <w:keepLines/>
            </w:pPr>
            <w:r>
              <w:rPr>
                <w:rFonts w:ascii="Aptos" w:hAnsi="Aptos" w:eastAsia="Aptos"/>
                <w:b w:val="0"/>
                <w:i w:val="0"/>
                <w:color w:val="182033"/>
                <w:sz w:val="17"/>
              </w:rPr>
              <w:t>Receive health education and platform updates</w:t>
            </w:r>
          </w:p>
        </w:tc>
        <w:tc>
          <w:tcPr>
            <w:tcW w:type="dxa" w:w="1944"/>
            <w:tcMar>
              <w:top w:w="90" w:type="dxa"/>
              <w:start w:w="120" w:type="dxa"/>
              <w:bottom w:w="90" w:type="dxa"/>
              <w:end w:w="120" w:type="dxa"/>
            </w:tcMar>
            <w:shd w:fill="FFFFFF"/>
            <w:vAlign w:val="center"/>
          </w:tcPr>
          <w:p>
            <w:pPr>
              <w:keepLines/>
            </w:pPr>
            <w:r>
              <w:rPr>
                <w:rFonts w:ascii="Aptos" w:hAnsi="Aptos" w:eastAsia="Aptos"/>
                <w:b w:val="0"/>
                <w:i w:val="0"/>
                <w:color w:val="182033"/>
                <w:sz w:val="17"/>
              </w:rPr>
              <w:t>No effect on platform access or core service.</w:t>
            </w:r>
          </w:p>
        </w:tc>
      </w:tr>
    </w:tbl>
    <w:p>
      <w:pPr>
        <w:pStyle w:val="Heading1"/>
        <w:keepLines/>
      </w:pPr>
      <w:r>
        <w:t>3. Required consent 1: processing my health information</w:t>
      </w:r>
    </w:p>
    <w:p>
      <w:pPr>
        <w:pStyle w:val="ConsentItem"/>
        <w:keepLines/>
      </w:pPr>
      <w:r>
        <w:t>☐ I expressly consent to SQUARE processing my personal data and sensitive personal data, including health information, for the core service described below.</w:t>
      </w:r>
    </w:p>
    <w:p>
      <w:pPr>
        <w:keepLines/>
      </w:pPr>
      <w:r>
        <w:t>Information may include account and contact details; age, sex and other demographics; height, weight, waist circumference, blood pressure and lifestyle responses; symptoms, medical history, medications and allergies; uploaded laboratory reports and the values extracted from them; platform activity; device, log and security information; and communications with SQUARE.</w:t>
      </w:r>
    </w:p>
    <w:p>
      <w:pPr>
        <w:pStyle w:val="Heading2"/>
        <w:keepLines/>
      </w:pPr>
      <w:r>
        <w:t>Core purposes</w:t>
      </w:r>
    </w:p>
    <w:p>
      <w:pPr>
        <w:pStyle w:val="ListBullet"/>
        <w:keepLines/>
      </w:pPr>
      <w:r>
        <w:t>create and administer my account and verify or correct submitted information;</w:t>
      </w:r>
    </w:p>
    <w:p>
      <w:pPr>
        <w:pStyle w:val="ListBullet"/>
        <w:keepLines/>
      </w:pPr>
      <w:r>
        <w:t>receive, extract, standardise and interpret values from reports I upload or enter;</w:t>
      </w:r>
    </w:p>
    <w:p>
      <w:pPr>
        <w:pStyle w:val="ListBullet"/>
        <w:keepLines/>
      </w:pPr>
      <w:r>
        <w:t>generate personalised health-risk information, education, wellness guidance and suggested next actions;</w:t>
      </w:r>
    </w:p>
    <w:p>
      <w:pPr>
        <w:pStyle w:val="ListBullet"/>
        <w:keepLines/>
      </w:pPr>
      <w:r>
        <w:t>identify results or responses that may warrant prompt professional assessment or emergency action;</w:t>
      </w:r>
    </w:p>
    <w:p>
      <w:pPr>
        <w:pStyle w:val="ListBullet"/>
        <w:keepLines/>
      </w:pPr>
      <w:r>
        <w:t>provide technical support, maintain service security, investigate misuse and meet legal obligations; and</w:t>
      </w:r>
    </w:p>
    <w:p>
      <w:pPr>
        <w:pStyle w:val="ListBullet"/>
        <w:keepLines/>
      </w:pPr>
      <w:r>
        <w:t>maintain an auditable record of the information, algorithm version, outputs, consent choices and changes relevant to my use of the service.</w:t>
      </w:r>
    </w:p>
    <w:p>
      <w:pPr>
        <w:pStyle w:val="Heading2"/>
        <w:keepLines/>
      </w:pPr>
      <w:r>
        <w:t>Automated processing</w:t>
      </w:r>
    </w:p>
    <w:p>
      <w:pPr>
        <w:keepLines/>
      </w:pPr>
      <w:r>
        <w:t>I understand that SQUARE may use rules, risk calculators, reference ranges and other automated methods to organise my information and produce explanations or recommendations. Outputs depend on the completeness and accuracy of the information supplied and may contain errors. Where required by law or appropriate to the risk, SQUARE will provide a way to request human review or further explanation at [contact/channel].</w:t>
      </w:r>
    </w:p>
    <w:p>
      <w:pPr>
        <w:pStyle w:val="Heading2"/>
        <w:keepLines/>
      </w:pPr>
      <w:r>
        <w:t>Service providers, disclosure and transfers</w:t>
      </w:r>
    </w:p>
    <w:p>
      <w:pPr>
        <w:keepLines/>
      </w:pPr>
      <w:r>
        <w:t>SQUARE may disclose the minimum necessary information to contracted technology, hosting, security, analytics, customer-support and professional-service providers acting for SQUARE; to healthcare professionals or referral providers only when I request or authorise that connection, or when law permits or requires it; and to regulators, courts or enforcement bodies when legally required. Any cross-border storage or transfer will be handled as described in the Privacy Notice and subject to applicable safeguards.</w:t>
      </w:r>
    </w:p>
    <w:p>
      <w:pPr>
        <w:pStyle w:val="Heading2"/>
        <w:keepLines/>
      </w:pPr>
      <w:r>
        <w:t>Retention and protection</w:t>
      </w:r>
    </w:p>
    <w:p>
      <w:pPr>
        <w:keepLines/>
      </w:pPr>
      <w:r>
        <w:t>SQUARE will apply reasonable administrative, technical and organisational safeguards and retain personal data only for as long as needed for the stated purposes, legal duties, dispute handling and approved retention schedules. Specific retention periods, deletion rules and security contacts must be stated in the Privacy Notice.</w:t>
      </w:r>
    </w:p>
    <w:p>
      <w:pPr>
        <w:pStyle w:val="Heading1"/>
        <w:keepLines/>
      </w:pPr>
      <w:r>
        <w:t>4. Required consent 2: non-diagnostic platform acknowledgement</w:t>
      </w:r>
    </w:p>
    <w:p>
      <w:pPr>
        <w:pStyle w:val="ConsentItem"/>
        <w:keepLines/>
      </w:pPr>
      <w:r>
        <w:t>☐ I understand and acknowledge that SQUARE provides health-information interpretation, education and wellness guidance. It is not a diagnosis, medical treatment, prescription, medical certificate or emergency service.</w:t>
      </w:r>
    </w:p>
    <w:p>
      <w:pPr>
        <w:keepLines/>
      </w:pPr>
      <w:r>
        <w:t>SQUARE does not establish a doctor-patient relationship merely because I use the platform. A SQUARE output does not replace a clinician's history-taking, physical examination, repeat testing, diagnostic assessment or treatment plan. Laboratory reference ranges can differ between laboratories, methods and populations. SQUARE may display the source laboratory range, a platform reference framework, or both, with appropriate explanation.</w:t>
      </w:r>
    </w:p>
    <w:p>
      <w:pPr>
        <w:pStyle w:val="Heading1"/>
        <w:keepLines/>
      </w:pPr>
      <w:r>
        <w:t>5. Required consent 3: professional-care acknowledgement</w:t>
      </w:r>
    </w:p>
    <w:p>
      <w:pPr>
        <w:pStyle w:val="ConsentItem"/>
        <w:keepLines/>
      </w:pPr>
      <w:r>
        <w:t>☐ I understand that I should obtain qualified healthcare assessment when advised, when symptoms concern me, when results are unexpected or worsening, or whenever I am unsure.</w:t>
      </w:r>
    </w:p>
    <w:tbl>
      <w:tblPr>
        <w:tblW w:type="auto" w:w="0"/>
        <w:jc w:val="center"/>
        <w:tblLook w:firstColumn="1" w:firstRow="1" w:lastColumn="0" w:lastRow="0" w:noHBand="0" w:noVBand="1" w:val="04A0"/>
        <w:tblBorders>
          <w:top w:val="single" w:sz="8" w:color="E3B1B1"/>
          <w:left w:val="single" w:sz="8" w:color="E3B1B1"/>
          <w:bottom w:val="single" w:sz="8" w:color="E3B1B1"/>
          <w:right w:val="single" w:sz="8" w:color="E3B1B1"/>
          <w:insideH w:val="single" w:sz="8" w:color="E3B1B1"/>
          <w:insideV w:val="single" w:sz="8" w:color="E3B1B1"/>
        </w:tblBorders>
      </w:tblPr>
      <w:tblGrid>
        <w:gridCol w:w="9878"/>
      </w:tblGrid>
      <w:tr>
        <w:tc>
          <w:tcPr>
            <w:tcW w:type="dxa" w:w="9878"/>
            <w:shd w:fill="FFF2F2"/>
            <w:tcMar>
              <w:top w:w="130" w:type="dxa"/>
              <w:start w:w="160" w:type="dxa"/>
              <w:bottom w:w="130" w:type="dxa"/>
              <w:end w:w="160" w:type="dxa"/>
            </w:tcMar>
            <w:vAlign w:val="center"/>
          </w:tcPr>
          <w:p>
            <w:pPr>
              <w:keepLines/>
            </w:pPr>
            <w:r>
              <w:rPr>
                <w:rFonts w:ascii="Aptos" w:hAnsi="Aptos" w:eastAsia="Aptos"/>
                <w:b/>
                <w:i w:val="0"/>
                <w:color w:val="A12A2A"/>
                <w:sz w:val="18"/>
              </w:rPr>
              <w:t>EMERGENCY WARNING</w:t>
            </w:r>
          </w:p>
          <w:p>
            <w:pPr>
              <w:spacing w:after="0"/>
              <w:keepLines/>
            </w:pPr>
            <w:r>
              <w:rPr>
                <w:rFonts w:ascii="Aptos" w:hAnsi="Aptos" w:eastAsia="Aptos"/>
                <w:b/>
                <w:i w:val="0"/>
                <w:color w:val="182033"/>
                <w:sz w:val="19"/>
              </w:rPr>
              <w:t>SQUARE must not be used for urgent or emergency care. If I may have a medical emergency, I will contact Malaysia's emergency services at 999 or go to the nearest emergency department immediately.</w:t>
            </w:r>
          </w:p>
        </w:tc>
      </w:tr>
    </w:tbl>
    <w:p>
      <w:pPr>
        <w:pStyle w:val="Heading1"/>
        <w:keepLines/>
      </w:pPr>
      <w:r>
        <w:t>6. Optional choice: contribute to health research</w:t>
      </w:r>
    </w:p>
    <w:p>
      <w:pPr>
        <w:pStyle w:val="ConsentItem"/>
        <w:keepLines/>
      </w:pPr>
      <w:r>
        <w:t>☐ YES, I allow data that has been de-identified to be considered for ethically approved health research and service-improvement research.</w:t>
      </w:r>
    </w:p>
    <w:p>
      <w:pPr>
        <w:pStyle w:val="ConsentItem"/>
        <w:keepLines/>
      </w:pPr>
      <w:r>
        <w:t>☐ NO, I do not consent to this optional use.</w:t>
      </w:r>
    </w:p>
    <w:p>
      <w:pPr>
        <w:pStyle w:val="ListBullet"/>
        <w:keepLines/>
      </w:pPr>
      <w:r>
        <w:t>My name and direct identifiers will be removed or separated before research use.</w:t>
      </w:r>
    </w:p>
    <w:p>
      <w:pPr>
        <w:pStyle w:val="ListBullet"/>
        <w:keepLines/>
      </w:pPr>
      <w:r>
        <w:t>De-identification reduces, but may not completely eliminate, the risk of re-identification.</w:t>
      </w:r>
    </w:p>
    <w:p>
      <w:pPr>
        <w:pStyle w:val="ListBullet"/>
        <w:keepLines/>
      </w:pPr>
      <w:r>
        <w:t>Choosing no will not reduce access to the core platform service.</w:t>
      </w:r>
    </w:p>
    <w:p>
      <w:pPr>
        <w:pStyle w:val="ListBullet"/>
        <w:keepLines/>
      </w:pPr>
      <w:r>
        <w:t>I may withdraw this permission for future research use. Withdrawal may not affect data already irreversibly de-identified, already included in a completed analysis, or retained where law or research-integrity rules require it.</w:t>
      </w:r>
    </w:p>
    <w:p>
      <w:pPr>
        <w:pStyle w:val="ListBullet"/>
        <w:keepLines/>
      </w:pPr>
      <w:r>
        <w:t>A specific study may require ethics approval and a separate participant information sheet and consent. This general choice does not authorise contact, intervention, genetic testing, return of individual research findings or commercial sharing unless separately explained and permitted.</w:t>
      </w:r>
    </w:p>
    <w:p>
      <w:pPr>
        <w:keepLines/>
      </w:pPr>
      <w:r>
        <w:t>Research contact: [name/office, email, telephone]. Ethics or governance contact: [details, where applicable].</w:t>
      </w:r>
    </w:p>
    <w:p>
      <w:pPr>
        <w:pStyle w:val="Heading1"/>
        <w:keepLines/>
      </w:pPr>
      <w:r>
        <w:t>7. Optional choice: receive helpful updates</w:t>
      </w:r>
    </w:p>
    <w:p>
      <w:pPr>
        <w:pStyle w:val="ConsentItem"/>
        <w:keepLines/>
      </w:pPr>
      <w:r>
        <w:t>☐ YES, send me occasional health-education and SQUARE platform updates through:  ☐ Email  ☐ SMS  ☐ In-app notification  ☐ Other: __________</w:t>
      </w:r>
    </w:p>
    <w:p>
      <w:pPr>
        <w:pStyle w:val="ConsentItem"/>
        <w:keepLines/>
      </w:pPr>
      <w:r>
        <w:t>☐ NO, do not send optional updates.</w:t>
      </w:r>
    </w:p>
    <w:p>
      <w:pPr>
        <w:keepLines/>
      </w:pPr>
      <w:r>
        <w:t>No promotional message will be sent without the permission required by applicable law. I may unsubscribe or change channels at any time. Service and security notices needed to operate my account are not optional marketing messages.</w:t>
      </w:r>
    </w:p>
    <w:p>
      <w:pPr>
        <w:pStyle w:val="Heading1"/>
        <w:keepLines/>
      </w:pPr>
      <w:r>
        <w:t>8. My control and data rights</w:t>
      </w:r>
    </w:p>
    <w:p>
      <w:pPr>
        <w:keepLines/>
      </w:pPr>
      <w:r>
        <w:t>Subject to applicable law, I may ask whether SQUARE processes my data, request access or correction, withdraw consent, object to or limit certain processing, prevent direct marketing, request deletion where available, and complain to SQUARE or the relevant authority. Withdrawal does not make earlier lawful processing invalid and may mean SQUARE can no longer provide some or all core functions.</w:t>
      </w:r>
    </w:p>
    <w:p>
      <w:pPr>
        <w:keepLines/>
      </w:pPr>
      <w:r>
        <w:t>To exercise a choice or right, contact [privacy email], [postal address] or use [in-app route]. Identity verification may be required. Privacy Notice: [URL].</w:t>
      </w:r>
    </w:p>
    <w:p>
      <w:pPr>
        <w:pStyle w:val="Heading1"/>
        <w:keepLines/>
      </w:pPr>
      <w:r>
        <w:t>9. Accuracy, accounts and capacity</w:t>
      </w:r>
    </w:p>
    <w:p>
      <w:pPr>
        <w:keepLines/>
      </w:pPr>
      <w:r>
        <w:t>I will provide information that is accurate and complete to the best of my knowledge, check extracted report values where the platform asks me to do so, and avoid uploading another person's information unless I have lawful authority. I will keep my account secure and promptly update material changes.</w:t>
      </w:r>
    </w:p>
    <w:p>
      <w:pPr>
        <w:keepLines/>
      </w:pPr>
      <w:r>
        <w:t>I confirm that I am at least [minimum age] and have capacity to make these choices. If SQUARE permits use by a minor or a person who cannot consent independently, a parent, guardian or legally authorised representative must complete the applicable representative-consent process, and assent should be obtained where appropriate.</w:t>
      </w:r>
    </w:p>
    <w:p>
      <w:pPr>
        <w:pStyle w:val="Heading1"/>
        <w:keepLines/>
      </w:pPr>
      <w:r>
        <w:t>10. Declaration and consent record</w:t>
      </w:r>
    </w:p>
    <w:p>
      <w:pPr>
        <w:keepLines/>
      </w:pPr>
      <w:r>
        <w:t>By signing below or selecting the corresponding boxes electronically, I confirm that I have read and understood this document, had the opportunity to ask questions, and make each choice voluntarily. Optional permissions are not a condition of access to the core service.</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952"/>
        <w:gridCol w:w="6768"/>
      </w:tblGrid>
      <w:tr>
        <w:tc>
          <w:tcPr>
            <w:tcW w:type="dxa" w:w="4939"/>
            <w:tcMar>
              <w:top w:w="105" w:type="dxa"/>
              <w:start w:w="120" w:type="dxa"/>
              <w:bottom w:w="105" w:type="dxa"/>
              <w:end w:w="120" w:type="dxa"/>
            </w:tcMar>
            <w:shd w:fill="EEF5FB"/>
            <w:vAlign w:val="center"/>
          </w:tcPr>
          <w:p>
            <w:pPr>
              <w:keepLines/>
            </w:pPr>
            <w:r>
              <w:rPr>
                <w:rFonts w:ascii="Aptos" w:hAnsi="Aptos" w:eastAsia="Aptos"/>
                <w:b/>
                <w:i w:val="0"/>
                <w:color w:val="102A72"/>
                <w:sz w:val="18"/>
              </w:rPr>
              <w:t>Full name</w:t>
            </w:r>
          </w:p>
        </w:tc>
        <w:tc>
          <w:tcPr>
            <w:tcW w:type="dxa" w:w="4939"/>
            <w:tcMar>
              <w:top w:w="105" w:type="dxa"/>
              <w:start w:w="120" w:type="dxa"/>
              <w:bottom w:w="105" w:type="dxa"/>
              <w:end w:w="120" w:type="dxa"/>
            </w:tcMar>
            <w:vAlign w:val="center"/>
          </w:tcPr>
          <w:p>
            <w:pPr>
              <w:keepLines/>
            </w:pPr>
            <w:r>
              <w:rPr>
                <w:rFonts w:ascii="Aptos" w:hAnsi="Aptos" w:eastAsia="Aptos"/>
                <w:b w:val="0"/>
                <w:i w:val="0"/>
                <w:color w:val="182033"/>
                <w:sz w:val="18"/>
              </w:rPr>
              <w:t xml:space="preserve"> </w:t>
            </w:r>
          </w:p>
        </w:tc>
      </w:tr>
      <w:tr>
        <w:tc>
          <w:tcPr>
            <w:tcW w:type="dxa" w:w="4939"/>
            <w:tcMar>
              <w:top w:w="105" w:type="dxa"/>
              <w:start w:w="120" w:type="dxa"/>
              <w:bottom w:w="105" w:type="dxa"/>
              <w:end w:w="120" w:type="dxa"/>
            </w:tcMar>
            <w:shd w:fill="EEF5FB"/>
            <w:vAlign w:val="center"/>
          </w:tcPr>
          <w:p>
            <w:pPr>
              <w:keepLines/>
            </w:pPr>
            <w:r>
              <w:rPr>
                <w:rFonts w:ascii="Aptos" w:hAnsi="Aptos" w:eastAsia="Aptos"/>
                <w:b/>
                <w:i w:val="0"/>
                <w:color w:val="102A72"/>
                <w:sz w:val="18"/>
              </w:rPr>
              <w:t>Identification / account reference</w:t>
            </w:r>
          </w:p>
        </w:tc>
        <w:tc>
          <w:tcPr>
            <w:tcW w:type="dxa" w:w="4939"/>
            <w:tcMar>
              <w:top w:w="105" w:type="dxa"/>
              <w:start w:w="120" w:type="dxa"/>
              <w:bottom w:w="105" w:type="dxa"/>
              <w:end w:w="120" w:type="dxa"/>
            </w:tcMar>
            <w:vAlign w:val="center"/>
          </w:tcPr>
          <w:p>
            <w:pPr>
              <w:keepLines/>
            </w:pPr>
            <w:r>
              <w:rPr>
                <w:rFonts w:ascii="Aptos" w:hAnsi="Aptos" w:eastAsia="Aptos"/>
                <w:b w:val="0"/>
                <w:i w:val="0"/>
                <w:color w:val="182033"/>
                <w:sz w:val="18"/>
              </w:rPr>
              <w:t xml:space="preserve"> </w:t>
            </w:r>
          </w:p>
        </w:tc>
      </w:tr>
      <w:tr>
        <w:tc>
          <w:tcPr>
            <w:tcW w:type="dxa" w:w="4939"/>
            <w:tcMar>
              <w:top w:w="105" w:type="dxa"/>
              <w:start w:w="120" w:type="dxa"/>
              <w:bottom w:w="105" w:type="dxa"/>
              <w:end w:w="120" w:type="dxa"/>
            </w:tcMar>
            <w:shd w:fill="EEF5FB"/>
            <w:vAlign w:val="center"/>
          </w:tcPr>
          <w:p>
            <w:pPr>
              <w:keepLines/>
            </w:pPr>
            <w:r>
              <w:rPr>
                <w:rFonts w:ascii="Aptos" w:hAnsi="Aptos" w:eastAsia="Aptos"/>
                <w:b/>
                <w:i w:val="0"/>
                <w:color w:val="102A72"/>
                <w:sz w:val="18"/>
              </w:rPr>
              <w:t>Required consent 1</w:t>
            </w:r>
          </w:p>
        </w:tc>
        <w:tc>
          <w:tcPr>
            <w:tcW w:type="dxa" w:w="4939"/>
            <w:tcMar>
              <w:top w:w="105" w:type="dxa"/>
              <w:start w:w="120" w:type="dxa"/>
              <w:bottom w:w="105" w:type="dxa"/>
              <w:end w:w="120" w:type="dxa"/>
            </w:tcMar>
            <w:vAlign w:val="center"/>
          </w:tcPr>
          <w:p>
            <w:pPr>
              <w:keepLines/>
            </w:pPr>
            <w:r>
              <w:rPr>
                <w:rFonts w:ascii="Aptos" w:hAnsi="Aptos" w:eastAsia="Aptos"/>
                <w:b w:val="0"/>
                <w:i w:val="0"/>
                <w:color w:val="182033"/>
                <w:sz w:val="18"/>
              </w:rPr>
              <w:t>☐ Agree   ☐ Do not agree</w:t>
            </w:r>
          </w:p>
        </w:tc>
      </w:tr>
      <w:tr>
        <w:tc>
          <w:tcPr>
            <w:tcW w:type="dxa" w:w="4939"/>
            <w:tcMar>
              <w:top w:w="105" w:type="dxa"/>
              <w:start w:w="120" w:type="dxa"/>
              <w:bottom w:w="105" w:type="dxa"/>
              <w:end w:w="120" w:type="dxa"/>
            </w:tcMar>
            <w:shd w:fill="EEF5FB"/>
            <w:vAlign w:val="center"/>
          </w:tcPr>
          <w:p>
            <w:pPr>
              <w:keepLines/>
            </w:pPr>
            <w:r>
              <w:rPr>
                <w:rFonts w:ascii="Aptos" w:hAnsi="Aptos" w:eastAsia="Aptos"/>
                <w:b/>
                <w:i w:val="0"/>
                <w:color w:val="102A72"/>
                <w:sz w:val="18"/>
              </w:rPr>
              <w:t>Required consent 2</w:t>
            </w:r>
          </w:p>
        </w:tc>
        <w:tc>
          <w:tcPr>
            <w:tcW w:type="dxa" w:w="4939"/>
            <w:tcMar>
              <w:top w:w="105" w:type="dxa"/>
              <w:start w:w="120" w:type="dxa"/>
              <w:bottom w:w="105" w:type="dxa"/>
              <w:end w:w="120" w:type="dxa"/>
            </w:tcMar>
            <w:vAlign w:val="center"/>
          </w:tcPr>
          <w:p>
            <w:pPr>
              <w:keepLines/>
            </w:pPr>
            <w:r>
              <w:rPr>
                <w:rFonts w:ascii="Aptos" w:hAnsi="Aptos" w:eastAsia="Aptos"/>
                <w:b w:val="0"/>
                <w:i w:val="0"/>
                <w:color w:val="182033"/>
                <w:sz w:val="18"/>
              </w:rPr>
              <w:t>☐ Acknowledge   ☐ Do not acknowledge</w:t>
            </w:r>
          </w:p>
        </w:tc>
      </w:tr>
      <w:tr>
        <w:tc>
          <w:tcPr>
            <w:tcW w:type="dxa" w:w="4939"/>
            <w:tcMar>
              <w:top w:w="105" w:type="dxa"/>
              <w:start w:w="120" w:type="dxa"/>
              <w:bottom w:w="105" w:type="dxa"/>
              <w:end w:w="120" w:type="dxa"/>
            </w:tcMar>
            <w:shd w:fill="EEF5FB"/>
            <w:vAlign w:val="center"/>
          </w:tcPr>
          <w:p>
            <w:pPr>
              <w:keepLines/>
            </w:pPr>
            <w:r>
              <w:rPr>
                <w:rFonts w:ascii="Aptos" w:hAnsi="Aptos" w:eastAsia="Aptos"/>
                <w:b/>
                <w:i w:val="0"/>
                <w:color w:val="102A72"/>
                <w:sz w:val="18"/>
              </w:rPr>
              <w:t>Required consent 3</w:t>
            </w:r>
          </w:p>
        </w:tc>
        <w:tc>
          <w:tcPr>
            <w:tcW w:type="dxa" w:w="4939"/>
            <w:tcMar>
              <w:top w:w="105" w:type="dxa"/>
              <w:start w:w="120" w:type="dxa"/>
              <w:bottom w:w="105" w:type="dxa"/>
              <w:end w:w="120" w:type="dxa"/>
            </w:tcMar>
            <w:vAlign w:val="center"/>
          </w:tcPr>
          <w:p>
            <w:pPr>
              <w:keepLines/>
            </w:pPr>
            <w:r>
              <w:rPr>
                <w:rFonts w:ascii="Aptos" w:hAnsi="Aptos" w:eastAsia="Aptos"/>
                <w:b w:val="0"/>
                <w:i w:val="0"/>
                <w:color w:val="182033"/>
                <w:sz w:val="18"/>
              </w:rPr>
              <w:t>☐ Acknowledge   ☐ Do not acknowledge</w:t>
            </w:r>
          </w:p>
        </w:tc>
      </w:tr>
      <w:tr>
        <w:tc>
          <w:tcPr>
            <w:tcW w:type="dxa" w:w="4939"/>
            <w:tcMar>
              <w:top w:w="105" w:type="dxa"/>
              <w:start w:w="120" w:type="dxa"/>
              <w:bottom w:w="105" w:type="dxa"/>
              <w:end w:w="120" w:type="dxa"/>
            </w:tcMar>
            <w:shd w:fill="EEF5FB"/>
            <w:vAlign w:val="center"/>
          </w:tcPr>
          <w:p>
            <w:pPr>
              <w:keepLines/>
            </w:pPr>
            <w:r>
              <w:rPr>
                <w:rFonts w:ascii="Aptos" w:hAnsi="Aptos" w:eastAsia="Aptos"/>
                <w:b/>
                <w:i w:val="0"/>
                <w:color w:val="102A72"/>
                <w:sz w:val="18"/>
              </w:rPr>
              <w:t>Optional research</w:t>
            </w:r>
          </w:p>
        </w:tc>
        <w:tc>
          <w:tcPr>
            <w:tcW w:type="dxa" w:w="4939"/>
            <w:tcMar>
              <w:top w:w="105" w:type="dxa"/>
              <w:start w:w="120" w:type="dxa"/>
              <w:bottom w:w="105" w:type="dxa"/>
              <w:end w:w="120" w:type="dxa"/>
            </w:tcMar>
            <w:vAlign w:val="center"/>
          </w:tcPr>
          <w:p>
            <w:pPr>
              <w:keepLines/>
            </w:pPr>
            <w:r>
              <w:rPr>
                <w:rFonts w:ascii="Aptos" w:hAnsi="Aptos" w:eastAsia="Aptos"/>
                <w:b w:val="0"/>
                <w:i w:val="0"/>
                <w:color w:val="182033"/>
                <w:sz w:val="18"/>
              </w:rPr>
              <w:t>☐ Yes   ☐ No</w:t>
            </w:r>
          </w:p>
        </w:tc>
      </w:tr>
      <w:tr>
        <w:tc>
          <w:tcPr>
            <w:tcW w:type="dxa" w:w="4939"/>
            <w:tcMar>
              <w:top w:w="105" w:type="dxa"/>
              <w:start w:w="120" w:type="dxa"/>
              <w:bottom w:w="105" w:type="dxa"/>
              <w:end w:w="120" w:type="dxa"/>
            </w:tcMar>
            <w:shd w:fill="EEF5FB"/>
            <w:vAlign w:val="center"/>
          </w:tcPr>
          <w:p>
            <w:pPr>
              <w:keepLines/>
            </w:pPr>
            <w:r>
              <w:rPr>
                <w:rFonts w:ascii="Aptos" w:hAnsi="Aptos" w:eastAsia="Aptos"/>
                <w:b/>
                <w:i w:val="0"/>
                <w:color w:val="102A72"/>
                <w:sz w:val="18"/>
              </w:rPr>
              <w:t>Optional updates</w:t>
            </w:r>
          </w:p>
        </w:tc>
        <w:tc>
          <w:tcPr>
            <w:tcW w:type="dxa" w:w="4939"/>
            <w:tcMar>
              <w:top w:w="105" w:type="dxa"/>
              <w:start w:w="120" w:type="dxa"/>
              <w:bottom w:w="105" w:type="dxa"/>
              <w:end w:w="120" w:type="dxa"/>
            </w:tcMar>
            <w:vAlign w:val="center"/>
          </w:tcPr>
          <w:p>
            <w:pPr>
              <w:keepLines/>
            </w:pPr>
            <w:r>
              <w:rPr>
                <w:rFonts w:ascii="Aptos" w:hAnsi="Aptos" w:eastAsia="Aptos"/>
                <w:b w:val="0"/>
                <w:i w:val="0"/>
                <w:color w:val="182033"/>
                <w:sz w:val="18"/>
              </w:rPr>
              <w:t>☐ Yes   ☐ No</w:t>
            </w:r>
          </w:p>
        </w:tc>
      </w:tr>
      <w:tr>
        <w:tc>
          <w:tcPr>
            <w:tcW w:type="dxa" w:w="4939"/>
            <w:tcMar>
              <w:top w:w="105" w:type="dxa"/>
              <w:start w:w="120" w:type="dxa"/>
              <w:bottom w:w="105" w:type="dxa"/>
              <w:end w:w="120" w:type="dxa"/>
            </w:tcMar>
            <w:shd w:fill="EEF5FB"/>
            <w:vAlign w:val="center"/>
          </w:tcPr>
          <w:p>
            <w:pPr>
              <w:keepLines/>
            </w:pPr>
            <w:r>
              <w:rPr>
                <w:rFonts w:ascii="Aptos" w:hAnsi="Aptos" w:eastAsia="Aptos"/>
                <w:b/>
                <w:i w:val="0"/>
                <w:color w:val="102A72"/>
                <w:sz w:val="18"/>
              </w:rPr>
              <w:t>Signature and date</w:t>
            </w:r>
          </w:p>
        </w:tc>
        <w:tc>
          <w:tcPr>
            <w:tcW w:type="dxa" w:w="4939"/>
            <w:tcMar>
              <w:top w:w="105" w:type="dxa"/>
              <w:start w:w="120" w:type="dxa"/>
              <w:bottom w:w="105" w:type="dxa"/>
              <w:end w:w="120" w:type="dxa"/>
            </w:tcMar>
            <w:vAlign w:val="center"/>
          </w:tcPr>
          <w:p>
            <w:pPr>
              <w:keepLines/>
            </w:pPr>
            <w:r>
              <w:rPr>
                <w:rFonts w:ascii="Aptos" w:hAnsi="Aptos" w:eastAsia="Aptos"/>
                <w:b w:val="0"/>
                <w:i w:val="0"/>
                <w:color w:val="182033"/>
                <w:sz w:val="18"/>
              </w:rPr>
              <w:t>Signature: ____________________   Date/time: ____________________</w:t>
            </w:r>
          </w:p>
        </w:tc>
      </w:tr>
    </w:tbl>
    <w:p>
      <w:pPr>
        <w:keepLines/>
      </w:pPr>
      <w:r>
        <w:t>Representative (if applicable): Name ____________________  Relationship/authority ____________________  Signature ____________________  Date/time ____________________</w:t>
      </w:r>
    </w:p>
    <w:p>
      <w:pPr>
        <w:pStyle w:val="Heading1"/>
        <w:keepLines/>
      </w:pPr>
      <w:r>
        <w:t>11. Platform consent-record requirements</w:t>
      </w:r>
    </w:p>
    <w:p>
      <w:pPr>
        <w:keepLines/>
      </w:pPr>
      <w:r>
        <w:t>For implementation, SQUARE should store each consent as a separate, versioned event rather than one bundled acceptance. The audit record should include:</w:t>
      </w:r>
    </w:p>
    <w:p>
      <w:pPr>
        <w:pStyle w:val="ListBullet"/>
        <w:keepLines/>
      </w:pPr>
      <w:r>
        <w:t>user/account identifier; exact consent text and document version;</w:t>
      </w:r>
    </w:p>
    <w:p>
      <w:pPr>
        <w:pStyle w:val="ListBullet"/>
        <w:keepLines/>
      </w:pPr>
      <w:r>
        <w:t>choice for each required and optional item; timestamp and time zone;</w:t>
      </w:r>
    </w:p>
    <w:p>
      <w:pPr>
        <w:pStyle w:val="ListBullet"/>
        <w:keepLines/>
      </w:pPr>
      <w:r>
        <w:t>collection channel, language, and interface version;</w:t>
      </w:r>
    </w:p>
    <w:p>
      <w:pPr>
        <w:pStyle w:val="ListBullet"/>
        <w:keepLines/>
      </w:pPr>
      <w:r>
        <w:t>method of authentication or signature and, where justified, a security log reference;</w:t>
      </w:r>
    </w:p>
    <w:p>
      <w:pPr>
        <w:pStyle w:val="ListBullet"/>
        <w:keepLines/>
      </w:pPr>
      <w:r>
        <w:t>withdrawal or later change, its effective time, and downstream actions; and</w:t>
      </w:r>
    </w:p>
    <w:p>
      <w:pPr>
        <w:pStyle w:val="ListBullet"/>
        <w:keepLines/>
      </w:pPr>
      <w:r>
        <w:t>representative details and authority where consent is given for another person.</w:t>
      </w:r>
    </w:p>
    <w:p>
      <w:pPr>
        <w:pStyle w:val="Heading1"/>
        <w:keepLines/>
      </w:pPr>
      <w:r>
        <w:t>12. Organisation details</w:t>
      </w:r>
    </w:p>
    <w:tbl>
      <w:tblPr>
        <w:tblW w:type="auto" w:w="0"/>
        <w:jc w:val="center"/>
        <w:tblLayout w:type="fixed"/>
        <w:tblLook w:firstColumn="1" w:firstRow="1" w:lastColumn="0" w:lastRow="0" w:noHBand="0" w:noVBand="1" w:val="04A0"/>
        <w:tblBorders>
          <w:top w:val="single" w:sz="6" w:color="D7DEE8"/>
          <w:left w:val="single" w:sz="6" w:color="D7DEE8"/>
          <w:bottom w:val="single" w:sz="6" w:color="D7DEE8"/>
          <w:right w:val="single" w:sz="6" w:color="D7DEE8"/>
          <w:insideH w:val="single" w:sz="6" w:color="D7DEE8"/>
          <w:insideV w:val="single" w:sz="6" w:color="D7DEE8"/>
        </w:tblBorders>
      </w:tblPr>
      <w:tblGrid>
        <w:gridCol w:w="2952"/>
        <w:gridCol w:w="6768"/>
      </w:tblGrid>
      <w:tr>
        <w:tc>
          <w:tcPr>
            <w:tcW w:type="dxa" w:w="4939"/>
            <w:tcMar>
              <w:top w:w="100" w:type="dxa"/>
              <w:start w:w="120" w:type="dxa"/>
              <w:bottom w:w="100" w:type="dxa"/>
              <w:end w:w="120" w:type="dxa"/>
            </w:tcMar>
            <w:shd w:fill="F3F5F8"/>
            <w:vAlign w:val="center"/>
          </w:tcPr>
          <w:p>
            <w:pPr>
              <w:keepLines/>
            </w:pPr>
            <w:r>
              <w:rPr>
                <w:rFonts w:ascii="Aptos" w:hAnsi="Aptos" w:eastAsia="Aptos"/>
                <w:b/>
                <w:i w:val="0"/>
                <w:color w:val="102A72"/>
                <w:sz w:val="18"/>
              </w:rPr>
              <w:t>Data controller</w:t>
            </w:r>
          </w:p>
        </w:tc>
        <w:tc>
          <w:tcPr>
            <w:tcW w:type="dxa" w:w="4939"/>
            <w:tcMar>
              <w:top w:w="100" w:type="dxa"/>
              <w:start w:w="120" w:type="dxa"/>
              <w:bottom w:w="100" w:type="dxa"/>
              <w:end w:w="120" w:type="dxa"/>
            </w:tcMar>
            <w:vAlign w:val="center"/>
          </w:tcPr>
          <w:p>
            <w:pPr>
              <w:keepLines/>
            </w:pPr>
            <w:r>
              <w:rPr>
                <w:rFonts w:ascii="Aptos" w:hAnsi="Aptos" w:eastAsia="Aptos"/>
                <w:b w:val="0"/>
                <w:i w:val="0"/>
                <w:color w:val="182033"/>
                <w:sz w:val="18"/>
              </w:rPr>
              <w:t>[full legal entity name and registration number]</w:t>
            </w:r>
          </w:p>
        </w:tc>
      </w:tr>
      <w:tr>
        <w:tc>
          <w:tcPr>
            <w:tcW w:type="dxa" w:w="4939"/>
            <w:tcMar>
              <w:top w:w="100" w:type="dxa"/>
              <w:start w:w="120" w:type="dxa"/>
              <w:bottom w:w="100" w:type="dxa"/>
              <w:end w:w="120" w:type="dxa"/>
            </w:tcMar>
            <w:shd w:fill="F3F5F8"/>
            <w:vAlign w:val="center"/>
          </w:tcPr>
          <w:p>
            <w:pPr>
              <w:keepLines/>
            </w:pPr>
            <w:r>
              <w:rPr>
                <w:rFonts w:ascii="Aptos" w:hAnsi="Aptos" w:eastAsia="Aptos"/>
                <w:b/>
                <w:i w:val="0"/>
                <w:color w:val="102A72"/>
                <w:sz w:val="18"/>
              </w:rPr>
              <w:t>Registered address</w:t>
            </w:r>
          </w:p>
        </w:tc>
        <w:tc>
          <w:tcPr>
            <w:tcW w:type="dxa" w:w="4939"/>
            <w:tcMar>
              <w:top w:w="100" w:type="dxa"/>
              <w:start w:w="120" w:type="dxa"/>
              <w:bottom w:w="100" w:type="dxa"/>
              <w:end w:w="120" w:type="dxa"/>
            </w:tcMar>
            <w:vAlign w:val="center"/>
          </w:tcPr>
          <w:p>
            <w:pPr>
              <w:keepLines/>
            </w:pPr>
            <w:r>
              <w:rPr>
                <w:rFonts w:ascii="Aptos" w:hAnsi="Aptos" w:eastAsia="Aptos"/>
                <w:b w:val="0"/>
                <w:i w:val="0"/>
                <w:color w:val="182033"/>
                <w:sz w:val="18"/>
              </w:rPr>
              <w:t>[address]</w:t>
            </w:r>
          </w:p>
        </w:tc>
      </w:tr>
      <w:tr>
        <w:tc>
          <w:tcPr>
            <w:tcW w:type="dxa" w:w="4939"/>
            <w:tcMar>
              <w:top w:w="100" w:type="dxa"/>
              <w:start w:w="120" w:type="dxa"/>
              <w:bottom w:w="100" w:type="dxa"/>
              <w:end w:w="120" w:type="dxa"/>
            </w:tcMar>
            <w:shd w:fill="F3F5F8"/>
            <w:vAlign w:val="center"/>
          </w:tcPr>
          <w:p>
            <w:pPr>
              <w:keepLines/>
            </w:pPr>
            <w:r>
              <w:rPr>
                <w:rFonts w:ascii="Aptos" w:hAnsi="Aptos" w:eastAsia="Aptos"/>
                <w:b/>
                <w:i w:val="0"/>
                <w:color w:val="102A72"/>
                <w:sz w:val="18"/>
              </w:rPr>
              <w:t>Privacy contact / DPO</w:t>
            </w:r>
          </w:p>
        </w:tc>
        <w:tc>
          <w:tcPr>
            <w:tcW w:type="dxa" w:w="4939"/>
            <w:tcMar>
              <w:top w:w="100" w:type="dxa"/>
              <w:start w:w="120" w:type="dxa"/>
              <w:bottom w:w="100" w:type="dxa"/>
              <w:end w:w="120" w:type="dxa"/>
            </w:tcMar>
            <w:vAlign w:val="center"/>
          </w:tcPr>
          <w:p>
            <w:pPr>
              <w:keepLines/>
            </w:pPr>
            <w:r>
              <w:rPr>
                <w:rFonts w:ascii="Aptos" w:hAnsi="Aptos" w:eastAsia="Aptos"/>
                <w:b w:val="0"/>
                <w:i w:val="0"/>
                <w:color w:val="182033"/>
                <w:sz w:val="18"/>
              </w:rPr>
              <w:t>[name or office, email, telephone]</w:t>
            </w:r>
          </w:p>
        </w:tc>
      </w:tr>
      <w:tr>
        <w:tc>
          <w:tcPr>
            <w:tcW w:type="dxa" w:w="4939"/>
            <w:tcMar>
              <w:top w:w="100" w:type="dxa"/>
              <w:start w:w="120" w:type="dxa"/>
              <w:bottom w:w="100" w:type="dxa"/>
              <w:end w:w="120" w:type="dxa"/>
            </w:tcMar>
            <w:shd w:fill="F3F5F8"/>
            <w:vAlign w:val="center"/>
          </w:tcPr>
          <w:p>
            <w:pPr>
              <w:keepLines/>
            </w:pPr>
            <w:r>
              <w:rPr>
                <w:rFonts w:ascii="Aptos" w:hAnsi="Aptos" w:eastAsia="Aptos"/>
                <w:b/>
                <w:i w:val="0"/>
                <w:color w:val="102A72"/>
                <w:sz w:val="18"/>
              </w:rPr>
              <w:t>Clinical governance contact</w:t>
            </w:r>
          </w:p>
        </w:tc>
        <w:tc>
          <w:tcPr>
            <w:tcW w:type="dxa" w:w="4939"/>
            <w:tcMar>
              <w:top w:w="100" w:type="dxa"/>
              <w:start w:w="120" w:type="dxa"/>
              <w:bottom w:w="100" w:type="dxa"/>
              <w:end w:w="120" w:type="dxa"/>
            </w:tcMar>
            <w:vAlign w:val="center"/>
          </w:tcPr>
          <w:p>
            <w:pPr>
              <w:keepLines/>
            </w:pPr>
            <w:r>
              <w:rPr>
                <w:rFonts w:ascii="Aptos" w:hAnsi="Aptos" w:eastAsia="Aptos"/>
                <w:b w:val="0"/>
                <w:i w:val="0"/>
                <w:color w:val="182033"/>
                <w:sz w:val="18"/>
              </w:rPr>
              <w:t>[details]</w:t>
            </w:r>
          </w:p>
        </w:tc>
      </w:tr>
      <w:tr>
        <w:tc>
          <w:tcPr>
            <w:tcW w:type="dxa" w:w="4939"/>
            <w:tcMar>
              <w:top w:w="100" w:type="dxa"/>
              <w:start w:w="120" w:type="dxa"/>
              <w:bottom w:w="100" w:type="dxa"/>
              <w:end w:w="120" w:type="dxa"/>
            </w:tcMar>
            <w:shd w:fill="F3F5F8"/>
            <w:vAlign w:val="center"/>
          </w:tcPr>
          <w:p>
            <w:pPr>
              <w:keepLines/>
            </w:pPr>
            <w:r>
              <w:rPr>
                <w:rFonts w:ascii="Aptos" w:hAnsi="Aptos" w:eastAsia="Aptos"/>
                <w:b/>
                <w:i w:val="0"/>
                <w:color w:val="102A72"/>
                <w:sz w:val="18"/>
              </w:rPr>
              <w:t>Complaints contact</w:t>
            </w:r>
          </w:p>
        </w:tc>
        <w:tc>
          <w:tcPr>
            <w:tcW w:type="dxa" w:w="4939"/>
            <w:tcMar>
              <w:top w:w="100" w:type="dxa"/>
              <w:start w:w="120" w:type="dxa"/>
              <w:bottom w:w="100" w:type="dxa"/>
              <w:end w:w="120" w:type="dxa"/>
            </w:tcMar>
            <w:vAlign w:val="center"/>
          </w:tcPr>
          <w:p>
            <w:pPr>
              <w:keepLines/>
            </w:pPr>
            <w:r>
              <w:rPr>
                <w:rFonts w:ascii="Aptos" w:hAnsi="Aptos" w:eastAsia="Aptos"/>
                <w:b w:val="0"/>
                <w:i w:val="0"/>
                <w:color w:val="182033"/>
                <w:sz w:val="18"/>
              </w:rPr>
              <w:t>[details]</w:t>
            </w:r>
          </w:p>
        </w:tc>
      </w:tr>
      <w:tr>
        <w:tc>
          <w:tcPr>
            <w:tcW w:type="dxa" w:w="4939"/>
            <w:tcMar>
              <w:top w:w="100" w:type="dxa"/>
              <w:start w:w="120" w:type="dxa"/>
              <w:bottom w:w="100" w:type="dxa"/>
              <w:end w:w="120" w:type="dxa"/>
            </w:tcMar>
            <w:shd w:fill="F3F5F8"/>
            <w:vAlign w:val="center"/>
          </w:tcPr>
          <w:p>
            <w:pPr>
              <w:keepLines/>
            </w:pPr>
            <w:r>
              <w:rPr>
                <w:rFonts w:ascii="Aptos" w:hAnsi="Aptos" w:eastAsia="Aptos"/>
                <w:b/>
                <w:i w:val="0"/>
                <w:color w:val="102A72"/>
                <w:sz w:val="18"/>
              </w:rPr>
              <w:t>Effective date and version</w:t>
            </w:r>
          </w:p>
        </w:tc>
        <w:tc>
          <w:tcPr>
            <w:tcW w:type="dxa" w:w="4939"/>
            <w:tcMar>
              <w:top w:w="100" w:type="dxa"/>
              <w:start w:w="120" w:type="dxa"/>
              <w:bottom w:w="100" w:type="dxa"/>
              <w:end w:w="120" w:type="dxa"/>
            </w:tcMar>
            <w:vAlign w:val="center"/>
          </w:tcPr>
          <w:p>
            <w:pPr>
              <w:keepLines/>
            </w:pPr>
            <w:r>
              <w:rPr>
                <w:rFonts w:ascii="Aptos" w:hAnsi="Aptos" w:eastAsia="Aptos"/>
                <w:b w:val="0"/>
                <w:i w:val="0"/>
                <w:color w:val="182033"/>
                <w:sz w:val="18"/>
              </w:rPr>
              <w:t>[date] | [version]</w:t>
            </w:r>
          </w:p>
        </w:tc>
      </w:tr>
    </w:tbl>
    <w:p>
      <w:pPr>
        <w:keepLines/>
      </w:pPr>
      <w:r>
        <w:br w:type="page"/>
      </w:r>
    </w:p>
    <w:p>
      <w:pPr>
        <w:pStyle w:val="Heading1"/>
        <w:keepLines/>
      </w:pPr>
      <w:r>
        <w:t>Drafting notes for SQUARE (remove before publication)</w:t>
      </w:r>
    </w:p>
    <w:p>
      <w:pPr>
        <w:pStyle w:val="ListBullet"/>
        <w:keepLines/>
      </w:pPr>
      <w:r>
        <w:t>Align this form with the final Privacy Notice, Terms and Conditions, data map, retention schedule, vendor contracts and incident-response process.</w:t>
      </w:r>
    </w:p>
    <w:p>
      <w:pPr>
        <w:pStyle w:val="ListBullet"/>
        <w:keepLines/>
      </w:pPr>
      <w:r>
        <w:t>Confirm the applicable Malaysian entity, data-controller registration class, DPO threshold, cross-border-transfer approach, breach-notification workflow and any healthcare-sector code of practice.</w:t>
      </w:r>
    </w:p>
    <w:p>
      <w:pPr>
        <w:pStyle w:val="ListBullet"/>
        <w:keepLines/>
      </w:pPr>
      <w:r>
        <w:t>Validate every claim about de-identification, encryption, human review, referral and response times against actual technical and operational capability.</w:t>
      </w:r>
    </w:p>
    <w:p>
      <w:pPr>
        <w:pStyle w:val="ListBullet"/>
        <w:keepLines/>
      </w:pPr>
      <w:r>
        <w:t>Use an unticked default for every choice. Do not use research or updates as a condition of service. Keep proof of the text shown at the moment consent was collected.</w:t>
      </w:r>
    </w:p>
    <w:p>
      <w:pPr>
        <w:pStyle w:val="ListBullet"/>
        <w:keepLines/>
      </w:pPr>
      <w:r>
        <w:t>Prepare Malay and any other user-language versions and establish which version controls if translations differ.</w:t>
      </w:r>
    </w:p>
    <w:sectPr w:rsidR="00FC693F" w:rsidRPr="0006063C" w:rsidSect="00034616">
      <w:headerReference w:type="default" r:id="rId9"/>
      <w:footerReference w:type="default" r:id="rId10"/>
      <w:pgSz w:w="12240" w:h="15840"/>
      <w:pgMar w:top="1037" w:right="1181" w:bottom="1008"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566277"/>
        <w:sz w:val="16"/>
      </w:rPr>
      <w:t xml:space="preserve">SQUARE User Consent Draft  |  Version 0.1  |  30 August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Display" w:hAnsi="Aptos Display" w:eastAsia="Aptos Display"/>
        <w:b/>
        <w:i w:val="0"/>
        <w:color w:val="102A72"/>
        <w:sz w:val="22"/>
      </w:rPr>
      <w:t>SQUARE</w:t>
    </w:r>
    <w:r>
      <w:rPr>
        <w:rFonts w:ascii="Aptos" w:hAnsi="Aptos" w:eastAsia="Aptos"/>
        <w:b w:val="0"/>
        <w:i w:val="0"/>
        <w:color w:val="008C95"/>
        <w:sz w:val="15"/>
      </w:rPr>
      <w:t xml:space="preserve">   SMART ANALYSIS. VITAL INSIGHTS. RELEVANT 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8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02A72"/>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8C9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02A7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02A7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566277"/>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sentItem">
    <w:name w:val="Consent Item"/>
    <w:pPr>
      <w:keepNext/>
      <w:spacing w:after="60"/>
    </w:pPr>
    <w:rPr>
      <w:rFonts w:ascii="Aptos" w:hAnsi="Aptos"/>
      <w:b/>
      <w:color w:val="102A7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SQUARE User Consent and Acknowledgement Draft</dc:title>
  <dc:subject>Consent for health-information processing, safety acknowledgements and optional permissions</dc:subject>
  <dc:creator>SQUARE</dc:creator>
  <cp:keywords/>
  <dc:description>generated by python-docx</dc:description>
  <cp:lastModifiedBy/>
  <cp:revision>1</cp:revision>
  <dcterms:created xsi:type="dcterms:W3CDTF">2013-12-23T23:15:00Z</dcterms:created>
  <dcterms:modified xsi:type="dcterms:W3CDTF">2013-12-23T23:15:00Z</dcterms:modified>
  <cp:category/>
</cp:coreProperties>
</file>