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67D8D"/>
        </w:rPr>
        <w:t>CLINICAL DOMAIN SPECIFICATION</w:t>
      </w:r>
    </w:p>
    <w:p>
      <w:pPr>
        <w:pStyle w:val="Title"/>
        <w:spacing w:before="1160"/>
      </w:pPr>
      <w:r>
        <w:t>Cardiovascular Domain</w:t>
      </w:r>
    </w:p>
    <w:p>
      <w:pPr>
        <w:pStyle w:val="Subtitle"/>
      </w:pPr>
      <w:r>
        <w:t>Classification stages, risk calculators, lipid and apolipoprotein logic, safety escalation, and report outputs for SQUARE</w:t>
      </w: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17324D"/>
                <w:sz w:val="18"/>
              </w:rPr>
              <w:t>PLATFORM ROLE</w:t>
            </w:r>
          </w:p>
          <w:p>
            <w:pPr>
              <w:widowControl/>
              <w:spacing w:after="0" w:line="259" w:lineRule="auto"/>
            </w:pPr>
            <w:r>
              <w:rPr>
                <w:sz w:val="18"/>
              </w:rPr>
              <w:t>SQUARE converts uploaded screening results and user context into understandable risk information and suggested next steps. It is not a diagnosis engine and must not replace clinician assessment.</w:t>
            </w:r>
          </w:p>
        </w:tc>
      </w:tr>
    </w:tbl>
    <w:p>
      <w:pPr>
        <w:spacing w:after="20"/>
      </w:pP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088"/>
            <w:vAlign w:val="center"/>
            <w:tcMar>
              <w:top w:w="70" w:type="dxa"/>
              <w:start w:w="90" w:type="dxa"/>
              <w:bottom w:w="70" w:type="dxa"/>
              <w:end w:w="90" w:type="dxa"/>
            </w:tcMar>
            <w:shd w:fill="17324D"/>
          </w:tcPr>
          <w:p>
            <w:pPr>
              <w:widowControl/>
              <w:spacing w:after="0" w:line="247" w:lineRule="auto"/>
            </w:pPr>
            <w:r/>
            <w:r>
              <w:rPr>
                <w:rFonts w:ascii="Aptos" w:hAnsi="Aptos"/>
                <w:b/>
                <w:color w:val="FFFFFF"/>
                <w:sz w:val="17"/>
              </w:rPr>
              <w:t>Document field</w:t>
            </w:r>
          </w:p>
        </w:tc>
        <w:tc>
          <w:tcPr>
            <w:tcW w:type="dxa" w:w="7848"/>
            <w:vAlign w:val="center"/>
            <w:tcMar>
              <w:top w:w="70" w:type="dxa"/>
              <w:start w:w="90" w:type="dxa"/>
              <w:bottom w:w="70" w:type="dxa"/>
              <w:end w:w="90" w:type="dxa"/>
            </w:tcMar>
            <w:shd w:fill="17324D"/>
          </w:tcPr>
          <w:p>
            <w:pPr>
              <w:widowControl/>
              <w:spacing w:after="0" w:line="247" w:lineRule="auto"/>
            </w:pPr>
            <w:r/>
            <w:r>
              <w:rPr>
                <w:rFonts w:ascii="Aptos" w:hAnsi="Aptos"/>
                <w:b/>
                <w:color w:val="FFFFFF"/>
                <w:sz w:val="17"/>
              </w:rPr>
              <w:t>Specification</w:t>
            </w:r>
          </w:p>
        </w:tc>
      </w:tr>
      <w:tr>
        <w:trPr>
          <w:cantSplit/>
        </w:trPr>
        <w:tc>
          <w:tcPr>
            <w:tcW w:type="dxa" w:w="2088"/>
            <w:vAlign w:val="center"/>
            <w:tcMar>
              <w:top w:w="70" w:type="dxa"/>
              <w:start w:w="90" w:type="dxa"/>
              <w:bottom w:w="70" w:type="dxa"/>
              <w:end w:w="90" w:type="dxa"/>
            </w:tcMar>
          </w:tcPr>
          <w:p>
            <w:pPr>
              <w:widowControl/>
              <w:spacing w:after="0" w:line="247" w:lineRule="auto"/>
            </w:pPr>
            <w:r/>
            <w:r>
              <w:rPr>
                <w:rFonts w:ascii="Aptos" w:hAnsi="Aptos"/>
                <w:b w:val="0"/>
                <w:color w:val="202B33"/>
                <w:sz w:val="17"/>
              </w:rPr>
              <w:t>Platform</w:t>
            </w:r>
          </w:p>
        </w:tc>
        <w:tc>
          <w:tcPr>
            <w:tcW w:type="dxa" w:w="7848"/>
            <w:vAlign w:val="center"/>
            <w:tcMar>
              <w:top w:w="70" w:type="dxa"/>
              <w:start w:w="90" w:type="dxa"/>
              <w:bottom w:w="70" w:type="dxa"/>
              <w:end w:w="90" w:type="dxa"/>
            </w:tcMar>
          </w:tcPr>
          <w:p>
            <w:pPr>
              <w:widowControl/>
              <w:spacing w:after="0" w:line="247" w:lineRule="auto"/>
            </w:pPr>
            <w:r/>
            <w:r>
              <w:rPr>
                <w:rFonts w:ascii="Aptos" w:hAnsi="Aptos"/>
                <w:b w:val="0"/>
                <w:color w:val="202B33"/>
                <w:sz w:val="17"/>
              </w:rPr>
              <w:t>SQUARE - Smart Analysis. Vital Insights. Relevant Action.</w:t>
            </w:r>
          </w:p>
        </w:tc>
      </w:tr>
      <w:tr>
        <w:trPr>
          <w:cantSplit/>
        </w:trPr>
        <w:tc>
          <w:tcPr>
            <w:tcW w:type="dxa" w:w="208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7"/>
              </w:rPr>
              <w:t>Primary setting</w:t>
            </w:r>
          </w:p>
        </w:tc>
        <w:tc>
          <w:tcPr>
            <w:tcW w:type="dxa" w:w="784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7"/>
              </w:rPr>
              <w:t>Malaysia; adults aged 18 years and above</w:t>
            </w:r>
          </w:p>
        </w:tc>
      </w:tr>
      <w:tr>
        <w:trPr>
          <w:cantSplit/>
        </w:trPr>
        <w:tc>
          <w:tcPr>
            <w:tcW w:type="dxa" w:w="2088"/>
            <w:vAlign w:val="center"/>
            <w:tcMar>
              <w:top w:w="70" w:type="dxa"/>
              <w:start w:w="90" w:type="dxa"/>
              <w:bottom w:w="70" w:type="dxa"/>
              <w:end w:w="90" w:type="dxa"/>
            </w:tcMar>
          </w:tcPr>
          <w:p>
            <w:pPr>
              <w:widowControl/>
              <w:spacing w:after="0" w:line="247" w:lineRule="auto"/>
            </w:pPr>
            <w:r/>
            <w:r>
              <w:rPr>
                <w:rFonts w:ascii="Aptos" w:hAnsi="Aptos"/>
                <w:b w:val="0"/>
                <w:color w:val="202B33"/>
                <w:sz w:val="17"/>
              </w:rPr>
              <w:t>Domain objective</w:t>
            </w:r>
          </w:p>
        </w:tc>
        <w:tc>
          <w:tcPr>
            <w:tcW w:type="dxa" w:w="7848"/>
            <w:vAlign w:val="center"/>
            <w:tcMar>
              <w:top w:w="70" w:type="dxa"/>
              <w:start w:w="90" w:type="dxa"/>
              <w:bottom w:w="70" w:type="dxa"/>
              <w:end w:w="90" w:type="dxa"/>
            </w:tcMar>
          </w:tcPr>
          <w:p>
            <w:pPr>
              <w:widowControl/>
              <w:spacing w:after="0" w:line="247" w:lineRule="auto"/>
            </w:pPr>
            <w:r/>
            <w:r>
              <w:rPr>
                <w:rFonts w:ascii="Aptos" w:hAnsi="Aptos"/>
                <w:b w:val="0"/>
                <w:color w:val="202B33"/>
                <w:sz w:val="17"/>
              </w:rPr>
              <w:t>Upload -&gt; Understand -&gt; Act -&gt; Follow Up</w:t>
            </w:r>
          </w:p>
        </w:tc>
      </w:tr>
      <w:tr>
        <w:trPr>
          <w:cantSplit/>
        </w:trPr>
        <w:tc>
          <w:tcPr>
            <w:tcW w:type="dxa" w:w="208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7"/>
              </w:rPr>
              <w:t>Version</w:t>
            </w:r>
          </w:p>
        </w:tc>
        <w:tc>
          <w:tcPr>
            <w:tcW w:type="dxa" w:w="784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7"/>
              </w:rPr>
              <w:t>1.0 - cardiovascular domain adjustment</w:t>
            </w:r>
          </w:p>
        </w:tc>
      </w:tr>
      <w:tr>
        <w:trPr>
          <w:cantSplit/>
        </w:trPr>
        <w:tc>
          <w:tcPr>
            <w:tcW w:type="dxa" w:w="2088"/>
            <w:vAlign w:val="center"/>
            <w:tcMar>
              <w:top w:w="70" w:type="dxa"/>
              <w:start w:w="90" w:type="dxa"/>
              <w:bottom w:w="70" w:type="dxa"/>
              <w:end w:w="90" w:type="dxa"/>
            </w:tcMar>
          </w:tcPr>
          <w:p>
            <w:pPr>
              <w:widowControl/>
              <w:spacing w:after="0" w:line="247" w:lineRule="auto"/>
            </w:pPr>
            <w:r/>
            <w:r>
              <w:rPr>
                <w:rFonts w:ascii="Aptos" w:hAnsi="Aptos"/>
                <w:b w:val="0"/>
                <w:color w:val="202B33"/>
                <w:sz w:val="17"/>
              </w:rPr>
              <w:t>Prepared</w:t>
            </w:r>
          </w:p>
        </w:tc>
        <w:tc>
          <w:tcPr>
            <w:tcW w:type="dxa" w:w="7848"/>
            <w:vAlign w:val="center"/>
            <w:tcMar>
              <w:top w:w="70" w:type="dxa"/>
              <w:start w:w="90" w:type="dxa"/>
              <w:bottom w:w="70" w:type="dxa"/>
              <w:end w:w="90" w:type="dxa"/>
            </w:tcMar>
          </w:tcPr>
          <w:p>
            <w:pPr>
              <w:widowControl/>
              <w:spacing w:after="0" w:line="247" w:lineRule="auto"/>
            </w:pPr>
            <w:r/>
            <w:r>
              <w:rPr>
                <w:rFonts w:ascii="Aptos" w:hAnsi="Aptos"/>
                <w:b w:val="0"/>
                <w:color w:val="202B33"/>
                <w:sz w:val="17"/>
              </w:rPr>
              <w:t>1 September 2026</w:t>
            </w:r>
          </w:p>
        </w:tc>
      </w:tr>
    </w:tbl>
    <w:p>
      <w:pPr>
        <w:spacing w:after="20"/>
      </w:pPr>
    </w:p>
    <w:p>
      <w:pPr>
        <w:pStyle w:val="Heading2"/>
      </w:pPr>
      <w:r>
        <w:t>Clinical governance note</w:t>
      </w:r>
    </w:p>
    <w:p>
      <w:r>
        <w:t>All thresholds must be version-controlled against the guideline adopted by SQUARE. Laboratory-specific reference intervals, assay method, units, fasting status, pregnancy status and known disease must be preserved. Outputs should state what was calculated, why it matters, what limitations apply, and when professional review is appropriate.</w:t>
      </w:r>
    </w:p>
    <w:p>
      <w:r>
        <w:br w:type="page"/>
      </w:r>
    </w:p>
    <w:p>
      <w:pPr>
        <w:pStyle w:val="Heading1"/>
      </w:pPr>
      <w:r>
        <w:t>1. Domain architecture</w:t>
      </w: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17324D"/>
                <w:sz w:val="18"/>
              </w:rPr>
              <w:t>RECOMMENDED HIERARCHY</w:t>
            </w:r>
          </w:p>
          <w:p>
            <w:pPr>
              <w:widowControl/>
              <w:spacing w:after="0" w:line="259" w:lineRule="auto"/>
            </w:pPr>
            <w:r>
              <w:rPr>
                <w:sz w:val="18"/>
              </w:rPr>
              <w:t>Clinical decisions should be driven first by established disease, red flags and overall cardiovascular risk; then by LDL-C/non-HDL-C/ApoB burden. AIP and Castelli ratios provide supplementary pattern explanation and must not independently determine treatment.</w:t>
            </w:r>
          </w:p>
        </w:tc>
      </w:tr>
    </w:tbl>
    <w:p>
      <w:pPr>
        <w:spacing w:after="20"/>
      </w:pP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728"/>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Layer</w:t>
            </w:r>
          </w:p>
        </w:tc>
        <w:tc>
          <w:tcPr>
            <w:tcW w:type="dxa" w:w="4680"/>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Components</w:t>
            </w:r>
          </w:p>
        </w:tc>
        <w:tc>
          <w:tcPr>
            <w:tcW w:type="dxa" w:w="3528"/>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Primary output</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5"/>
              </w:rPr>
              <w:t>Safety</w:t>
            </w:r>
          </w:p>
        </w:tc>
        <w:tc>
          <w:tcPr>
            <w:tcW w:type="dxa" w:w="4680"/>
            <w:vAlign w:val="center"/>
            <w:tcMar>
              <w:top w:w="70" w:type="dxa"/>
              <w:start w:w="90" w:type="dxa"/>
              <w:bottom w:w="70" w:type="dxa"/>
              <w:end w:w="90" w:type="dxa"/>
            </w:tcMar>
          </w:tcPr>
          <w:p>
            <w:pPr>
              <w:widowControl/>
              <w:spacing w:after="0" w:line="247" w:lineRule="auto"/>
            </w:pPr>
            <w:r/>
            <w:r>
              <w:rPr>
                <w:rFonts w:ascii="Aptos" w:hAnsi="Aptos"/>
                <w:b w:val="0"/>
                <w:color w:val="202B33"/>
                <w:sz w:val="15"/>
              </w:rPr>
              <w:t>Symptoms; extreme BP; severe hypertriglyceridaemia; acute illness</w:t>
            </w:r>
          </w:p>
        </w:tc>
        <w:tc>
          <w:tcPr>
            <w:tcW w:type="dxa" w:w="3528"/>
            <w:vAlign w:val="center"/>
            <w:tcMar>
              <w:top w:w="70" w:type="dxa"/>
              <w:start w:w="90" w:type="dxa"/>
              <w:bottom w:w="70" w:type="dxa"/>
              <w:end w:w="90" w:type="dxa"/>
            </w:tcMar>
          </w:tcPr>
          <w:p>
            <w:pPr>
              <w:widowControl/>
              <w:spacing w:after="0" w:line="247" w:lineRule="auto"/>
            </w:pPr>
            <w:r/>
            <w:r>
              <w:rPr>
                <w:rFonts w:ascii="Aptos" w:hAnsi="Aptos"/>
                <w:b w:val="0"/>
                <w:color w:val="202B33"/>
                <w:sz w:val="15"/>
              </w:rPr>
              <w:t>Emergency, urgent, prompt or routine pathway</w:t>
            </w:r>
          </w:p>
        </w:tc>
      </w:tr>
      <w:tr>
        <w:trPr>
          <w:cantSplit/>
        </w:trPr>
        <w:tc>
          <w:tcPr>
            <w:tcW w:type="dxa" w:w="17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Established disease</w:t>
            </w:r>
          </w:p>
        </w:tc>
        <w:tc>
          <w:tcPr>
            <w:tcW w:type="dxa" w:w="468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Prior MI, angina, stroke/TIA, PAD, revascularisation, heart failure</w:t>
            </w:r>
          </w:p>
        </w:tc>
        <w:tc>
          <w:tcPr>
            <w:tcW w:type="dxa" w:w="35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Secondary-prevention pathway; do not rely on FRS</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5"/>
              </w:rPr>
              <w:t>Whole-person risk</w:t>
            </w:r>
          </w:p>
        </w:tc>
        <w:tc>
          <w:tcPr>
            <w:tcW w:type="dxa" w:w="4680"/>
            <w:vAlign w:val="center"/>
            <w:tcMar>
              <w:top w:w="70" w:type="dxa"/>
              <w:start w:w="90" w:type="dxa"/>
              <w:bottom w:w="70" w:type="dxa"/>
              <w:end w:w="90" w:type="dxa"/>
            </w:tcMar>
          </w:tcPr>
          <w:p>
            <w:pPr>
              <w:widowControl/>
              <w:spacing w:after="0" w:line="247" w:lineRule="auto"/>
            </w:pPr>
            <w:r/>
            <w:r>
              <w:rPr>
                <w:rFonts w:ascii="Aptos" w:hAnsi="Aptos"/>
                <w:b w:val="0"/>
                <w:color w:val="202B33"/>
                <w:sz w:val="15"/>
              </w:rPr>
              <w:t>Framingham General CVD Risk Score</w:t>
            </w:r>
          </w:p>
        </w:tc>
        <w:tc>
          <w:tcPr>
            <w:tcW w:type="dxa" w:w="3528"/>
            <w:vAlign w:val="center"/>
            <w:tcMar>
              <w:top w:w="70" w:type="dxa"/>
              <w:start w:w="90" w:type="dxa"/>
              <w:bottom w:w="70" w:type="dxa"/>
              <w:end w:w="90" w:type="dxa"/>
            </w:tcMar>
          </w:tcPr>
          <w:p>
            <w:pPr>
              <w:widowControl/>
              <w:spacing w:after="0" w:line="247" w:lineRule="auto"/>
            </w:pPr>
            <w:r/>
            <w:r>
              <w:rPr>
                <w:rFonts w:ascii="Aptos" w:hAnsi="Aptos"/>
                <w:b w:val="0"/>
                <w:color w:val="202B33"/>
                <w:sz w:val="15"/>
              </w:rPr>
              <w:t>10-year risk percentage and category</w:t>
            </w:r>
          </w:p>
        </w:tc>
      </w:tr>
      <w:tr>
        <w:trPr>
          <w:cantSplit/>
        </w:trPr>
        <w:tc>
          <w:tcPr>
            <w:tcW w:type="dxa" w:w="17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Haemodynamic</w:t>
            </w:r>
          </w:p>
        </w:tc>
        <w:tc>
          <w:tcPr>
            <w:tcW w:type="dxa" w:w="468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Clinic/home BP; treatment status</w:t>
            </w:r>
          </w:p>
        </w:tc>
        <w:tc>
          <w:tcPr>
            <w:tcW w:type="dxa" w:w="35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BP classification and confirmation status</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5"/>
              </w:rPr>
              <w:t>Atherogenic burden</w:t>
            </w:r>
          </w:p>
        </w:tc>
        <w:tc>
          <w:tcPr>
            <w:tcW w:type="dxa" w:w="4680"/>
            <w:vAlign w:val="center"/>
            <w:tcMar>
              <w:top w:w="70" w:type="dxa"/>
              <w:start w:w="90" w:type="dxa"/>
              <w:bottom w:w="70" w:type="dxa"/>
              <w:end w:w="90" w:type="dxa"/>
            </w:tcMar>
          </w:tcPr>
          <w:p>
            <w:pPr>
              <w:widowControl/>
              <w:spacing w:after="0" w:line="247" w:lineRule="auto"/>
            </w:pPr>
            <w:r/>
            <w:r>
              <w:rPr>
                <w:rFonts w:ascii="Aptos" w:hAnsi="Aptos"/>
                <w:b w:val="0"/>
                <w:color w:val="202B33"/>
                <w:sz w:val="15"/>
              </w:rPr>
              <w:t>LDL-C, non-HDL-C, ApoB</w:t>
            </w:r>
          </w:p>
        </w:tc>
        <w:tc>
          <w:tcPr>
            <w:tcW w:type="dxa" w:w="3528"/>
            <w:vAlign w:val="center"/>
            <w:tcMar>
              <w:top w:w="70" w:type="dxa"/>
              <w:start w:w="90" w:type="dxa"/>
              <w:bottom w:w="70" w:type="dxa"/>
              <w:end w:w="90" w:type="dxa"/>
            </w:tcMar>
          </w:tcPr>
          <w:p>
            <w:pPr>
              <w:widowControl/>
              <w:spacing w:after="0" w:line="247" w:lineRule="auto"/>
            </w:pPr>
            <w:r/>
            <w:r>
              <w:rPr>
                <w:rFonts w:ascii="Aptos" w:hAnsi="Aptos"/>
                <w:b w:val="0"/>
                <w:color w:val="202B33"/>
                <w:sz w:val="15"/>
              </w:rPr>
              <w:t>Primary lipid risk interpretation</w:t>
            </w:r>
          </w:p>
        </w:tc>
      </w:tr>
      <w:tr>
        <w:trPr>
          <w:cantSplit/>
        </w:trPr>
        <w:tc>
          <w:tcPr>
            <w:tcW w:type="dxa" w:w="17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Inherited modifier</w:t>
            </w:r>
          </w:p>
        </w:tc>
        <w:tc>
          <w:tcPr>
            <w:tcW w:type="dxa" w:w="468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Lp(a); premature family history</w:t>
            </w:r>
          </w:p>
        </w:tc>
        <w:tc>
          <w:tcPr>
            <w:tcW w:type="dxa" w:w="35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Risk-enhancing flag</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5"/>
              </w:rPr>
              <w:t>Metabolic pattern</w:t>
            </w:r>
          </w:p>
        </w:tc>
        <w:tc>
          <w:tcPr>
            <w:tcW w:type="dxa" w:w="4680"/>
            <w:vAlign w:val="center"/>
            <w:tcMar>
              <w:top w:w="70" w:type="dxa"/>
              <w:start w:w="90" w:type="dxa"/>
              <w:bottom w:w="70" w:type="dxa"/>
              <w:end w:w="90" w:type="dxa"/>
            </w:tcMar>
          </w:tcPr>
          <w:p>
            <w:pPr>
              <w:widowControl/>
              <w:spacing w:after="0" w:line="247" w:lineRule="auto"/>
            </w:pPr>
            <w:r/>
            <w:r>
              <w:rPr>
                <w:rFonts w:ascii="Aptos" w:hAnsi="Aptos"/>
                <w:b w:val="0"/>
                <w:color w:val="202B33"/>
                <w:sz w:val="15"/>
              </w:rPr>
              <w:t>TG, HDL-C, glucose, waist, metabolic syndrome</w:t>
            </w:r>
          </w:p>
        </w:tc>
        <w:tc>
          <w:tcPr>
            <w:tcW w:type="dxa" w:w="3528"/>
            <w:vAlign w:val="center"/>
            <w:tcMar>
              <w:top w:w="70" w:type="dxa"/>
              <w:start w:w="90" w:type="dxa"/>
              <w:bottom w:w="70" w:type="dxa"/>
              <w:end w:w="90" w:type="dxa"/>
            </w:tcMar>
          </w:tcPr>
          <w:p>
            <w:pPr>
              <w:widowControl/>
              <w:spacing w:after="0" w:line="247" w:lineRule="auto"/>
            </w:pPr>
            <w:r/>
            <w:r>
              <w:rPr>
                <w:rFonts w:ascii="Aptos" w:hAnsi="Aptos"/>
                <w:b w:val="0"/>
                <w:color w:val="202B33"/>
                <w:sz w:val="15"/>
              </w:rPr>
              <w:t>Insulin-resistant/atherogenic pattern</w:t>
            </w:r>
          </w:p>
        </w:tc>
      </w:tr>
      <w:tr>
        <w:trPr>
          <w:cantSplit/>
        </w:trPr>
        <w:tc>
          <w:tcPr>
            <w:tcW w:type="dxa" w:w="17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Supplementary indices</w:t>
            </w:r>
          </w:p>
        </w:tc>
        <w:tc>
          <w:tcPr>
            <w:tcW w:type="dxa" w:w="468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AIP; Castelli I and II; ApoB/ApoA-I</w:t>
            </w:r>
          </w:p>
        </w:tc>
        <w:tc>
          <w:tcPr>
            <w:tcW w:type="dxa" w:w="35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Contextual explanation only</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5"/>
              </w:rPr>
              <w:t>Longitudinal</w:t>
            </w:r>
          </w:p>
        </w:tc>
        <w:tc>
          <w:tcPr>
            <w:tcW w:type="dxa" w:w="4680"/>
            <w:vAlign w:val="center"/>
            <w:tcMar>
              <w:top w:w="70" w:type="dxa"/>
              <w:start w:w="90" w:type="dxa"/>
              <w:bottom w:w="70" w:type="dxa"/>
              <w:end w:w="90" w:type="dxa"/>
            </w:tcMar>
          </w:tcPr>
          <w:p>
            <w:pPr>
              <w:widowControl/>
              <w:spacing w:after="0" w:line="247" w:lineRule="auto"/>
            </w:pPr>
            <w:r/>
            <w:r>
              <w:rPr>
                <w:rFonts w:ascii="Aptos" w:hAnsi="Aptos"/>
                <w:b w:val="0"/>
                <w:color w:val="202B33"/>
                <w:sz w:val="15"/>
              </w:rPr>
              <w:t>Repeat BP, lipids, weight and actions</w:t>
            </w:r>
          </w:p>
        </w:tc>
        <w:tc>
          <w:tcPr>
            <w:tcW w:type="dxa" w:w="3528"/>
            <w:vAlign w:val="center"/>
            <w:tcMar>
              <w:top w:w="70" w:type="dxa"/>
              <w:start w:w="90" w:type="dxa"/>
              <w:bottom w:w="70" w:type="dxa"/>
              <w:end w:w="90" w:type="dxa"/>
            </w:tcMar>
          </w:tcPr>
          <w:p>
            <w:pPr>
              <w:widowControl/>
              <w:spacing w:after="0" w:line="247" w:lineRule="auto"/>
            </w:pPr>
            <w:r/>
            <w:r>
              <w:rPr>
                <w:rFonts w:ascii="Aptos" w:hAnsi="Aptos"/>
                <w:b w:val="0"/>
                <w:color w:val="202B33"/>
                <w:sz w:val="15"/>
              </w:rPr>
              <w:t>Trend and follow-up status</w:t>
            </w:r>
          </w:p>
        </w:tc>
      </w:tr>
    </w:tbl>
    <w:p>
      <w:pPr>
        <w:spacing w:after="20"/>
      </w:pPr>
    </w:p>
    <w:p>
      <w:pPr>
        <w:pStyle w:val="Heading2"/>
      </w:pPr>
      <w:r>
        <w:t>Minimum inputs</w:t>
      </w:r>
    </w:p>
    <w:p>
      <w:pPr>
        <w:pStyle w:val="ListBullet"/>
        <w:spacing w:after="40"/>
      </w:pPr>
      <w:r>
        <w:t>Age, sex at birth, smoking status and diabetes status.</w:t>
      </w:r>
    </w:p>
    <w:p>
      <w:pPr>
        <w:pStyle w:val="ListBullet"/>
        <w:spacing w:after="40"/>
      </w:pPr>
      <w:r>
        <w:t>Systolic and diastolic BP, number of readings, measurement setting and antihypertensive treatment.</w:t>
      </w:r>
    </w:p>
    <w:p>
      <w:pPr>
        <w:pStyle w:val="ListBullet"/>
        <w:spacing w:after="40"/>
      </w:pPr>
      <w:r>
        <w:t>Total cholesterol, LDL-C, HDL-C, triglycerides, units, fasting status and collection date.</w:t>
      </w:r>
    </w:p>
    <w:p>
      <w:pPr>
        <w:pStyle w:val="ListBullet"/>
        <w:spacing w:after="40"/>
      </w:pPr>
      <w:r>
        <w:t>Known ASCVD, CKD, familial hypercholesterolaemia, pregnancy, medications and premature family history.</w:t>
      </w:r>
    </w:p>
    <w:p>
      <w:pPr>
        <w:pStyle w:val="ListBullet"/>
        <w:spacing w:after="40"/>
      </w:pPr>
      <w:r>
        <w:t>Optional advanced tests: ApoB, ApoA-I and Lp(a), retaining laboratory units and reference intervals.</w:t>
      </w:r>
    </w:p>
    <w:p>
      <w:pPr>
        <w:pStyle w:val="Heading2"/>
      </w:pPr>
      <w:r>
        <w:t>Standard output contract</w:t>
      </w:r>
    </w:p>
    <w:p>
      <w:pPr>
        <w:pStyle w:val="ListNumber"/>
        <w:spacing w:after="40"/>
      </w:pPr>
      <w:r>
        <w:t>Result and unit</w:t>
      </w:r>
    </w:p>
    <w:p>
      <w:pPr>
        <w:pStyle w:val="ListNumber"/>
        <w:spacing w:after="40"/>
      </w:pPr>
      <w:r>
        <w:t>Classification or risk category</w:t>
      </w:r>
    </w:p>
    <w:p>
      <w:pPr>
        <w:pStyle w:val="ListNumber"/>
        <w:spacing w:after="40"/>
      </w:pPr>
      <w:r>
        <w:t>Criteria met and missing inputs</w:t>
      </w:r>
    </w:p>
    <w:p>
      <w:pPr>
        <w:pStyle w:val="ListNumber"/>
        <w:spacing w:after="40"/>
      </w:pPr>
      <w:r>
        <w:t>Plain-language explanation</w:t>
      </w:r>
    </w:p>
    <w:p>
      <w:pPr>
        <w:pStyle w:val="ListNumber"/>
        <w:spacing w:after="40"/>
      </w:pPr>
      <w:r>
        <w:t>Important limitations</w:t>
      </w:r>
    </w:p>
    <w:p>
      <w:pPr>
        <w:pStyle w:val="ListNumber"/>
        <w:spacing w:after="40"/>
      </w:pPr>
      <w:r>
        <w:t>Urgency level and suggested next step</w:t>
      </w:r>
    </w:p>
    <w:p>
      <w:pPr>
        <w:pStyle w:val="ListNumber"/>
        <w:spacing w:after="40"/>
      </w:pPr>
      <w:r>
        <w:t>Source guideline/version and calculation version</w:t>
      </w:r>
    </w:p>
    <w:p>
      <w:pPr>
        <w:pStyle w:val="Heading1"/>
      </w:pPr>
      <w:r>
        <w:t>2. Blood-pressure classification</w:t>
      </w:r>
    </w:p>
    <w:p>
      <w:r>
        <w:t>Use the higher category when systolic and diastolic readings fall into different categories. A single measurement is a screening result, not confirmed hypertension.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3240"/>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Classification</w:t>
            </w:r>
          </w:p>
        </w:tc>
        <w:tc>
          <w:tcPr>
            <w:tcW w:type="dxa" w:w="1656"/>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SBP (mmHg)</w:t>
            </w:r>
          </w:p>
        </w:tc>
        <w:tc>
          <w:tcPr>
            <w:tcW w:type="dxa" w:w="1656"/>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DBP (mmHg)</w:t>
            </w:r>
          </w:p>
        </w:tc>
        <w:tc>
          <w:tcPr>
            <w:tcW w:type="dxa" w:w="3384"/>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SQUARE label</w:t>
            </w:r>
          </w:p>
        </w:tc>
      </w:tr>
      <w:tr>
        <w:trPr>
          <w:cantSplit/>
        </w:trPr>
        <w:tc>
          <w:tcPr>
            <w:tcW w:type="dxa" w:w="3240"/>
            <w:vAlign w:val="center"/>
            <w:tcMar>
              <w:top w:w="70" w:type="dxa"/>
              <w:start w:w="90" w:type="dxa"/>
              <w:bottom w:w="70" w:type="dxa"/>
              <w:end w:w="90" w:type="dxa"/>
            </w:tcMar>
          </w:tcPr>
          <w:p>
            <w:pPr>
              <w:widowControl/>
              <w:spacing w:after="0" w:line="247" w:lineRule="auto"/>
            </w:pPr>
            <w:r/>
            <w:r>
              <w:rPr>
                <w:rFonts w:ascii="Aptos" w:hAnsi="Aptos"/>
                <w:b w:val="0"/>
                <w:color w:val="202B33"/>
                <w:sz w:val="16"/>
              </w:rPr>
              <w:t>Optimal</w:t>
            </w:r>
          </w:p>
        </w:tc>
        <w:tc>
          <w:tcPr>
            <w:tcW w:type="dxa" w:w="1656"/>
            <w:vAlign w:val="center"/>
            <w:tcMar>
              <w:top w:w="70" w:type="dxa"/>
              <w:start w:w="90" w:type="dxa"/>
              <w:bottom w:w="70" w:type="dxa"/>
              <w:end w:w="90" w:type="dxa"/>
            </w:tcMar>
          </w:tcPr>
          <w:p>
            <w:pPr>
              <w:widowControl/>
              <w:spacing w:after="0" w:line="247" w:lineRule="auto"/>
            </w:pPr>
            <w:r/>
            <w:r>
              <w:rPr>
                <w:rFonts w:ascii="Aptos" w:hAnsi="Aptos"/>
                <w:b w:val="0"/>
                <w:color w:val="202B33"/>
                <w:sz w:val="16"/>
              </w:rPr>
              <w:t>&lt;120</w:t>
            </w:r>
          </w:p>
        </w:tc>
        <w:tc>
          <w:tcPr>
            <w:tcW w:type="dxa" w:w="1656"/>
            <w:vAlign w:val="center"/>
            <w:tcMar>
              <w:top w:w="70" w:type="dxa"/>
              <w:start w:w="90" w:type="dxa"/>
              <w:bottom w:w="70" w:type="dxa"/>
              <w:end w:w="90" w:type="dxa"/>
            </w:tcMar>
          </w:tcPr>
          <w:p>
            <w:pPr>
              <w:widowControl/>
              <w:spacing w:after="0" w:line="247" w:lineRule="auto"/>
            </w:pPr>
            <w:r/>
            <w:r>
              <w:rPr>
                <w:rFonts w:ascii="Aptos" w:hAnsi="Aptos"/>
                <w:b w:val="0"/>
                <w:color w:val="202B33"/>
                <w:sz w:val="16"/>
              </w:rPr>
              <w:t>&lt;80</w:t>
            </w:r>
          </w:p>
        </w:tc>
        <w:tc>
          <w:tcPr>
            <w:tcW w:type="dxa" w:w="3384"/>
            <w:vAlign w:val="center"/>
            <w:tcMar>
              <w:top w:w="70" w:type="dxa"/>
              <w:start w:w="90" w:type="dxa"/>
              <w:bottom w:w="70" w:type="dxa"/>
              <w:end w:w="90" w:type="dxa"/>
            </w:tcMar>
          </w:tcPr>
          <w:p>
            <w:pPr>
              <w:widowControl/>
              <w:spacing w:after="0" w:line="247" w:lineRule="auto"/>
            </w:pPr>
            <w:r/>
            <w:r>
              <w:rPr>
                <w:rFonts w:ascii="Aptos" w:hAnsi="Aptos"/>
                <w:b w:val="0"/>
                <w:color w:val="202B33"/>
                <w:sz w:val="16"/>
              </w:rPr>
              <w:t>Optimal</w:t>
            </w:r>
          </w:p>
        </w:tc>
      </w:tr>
      <w:tr>
        <w:trPr>
          <w:cantSplit/>
        </w:trPr>
        <w:tc>
          <w:tcPr>
            <w:tcW w:type="dxa" w:w="32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Normal</w:t>
            </w:r>
          </w:p>
        </w:tc>
        <w:tc>
          <w:tcPr>
            <w:tcW w:type="dxa" w:w="165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120-129</w:t>
            </w:r>
          </w:p>
        </w:tc>
        <w:tc>
          <w:tcPr>
            <w:tcW w:type="dxa" w:w="165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80-84</w:t>
            </w:r>
          </w:p>
        </w:tc>
        <w:tc>
          <w:tcPr>
            <w:tcW w:type="dxa" w:w="338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Within normal range</w:t>
            </w:r>
          </w:p>
        </w:tc>
      </w:tr>
      <w:tr>
        <w:trPr>
          <w:cantSplit/>
        </w:trPr>
        <w:tc>
          <w:tcPr>
            <w:tcW w:type="dxa" w:w="3240"/>
            <w:vAlign w:val="center"/>
            <w:tcMar>
              <w:top w:w="70" w:type="dxa"/>
              <w:start w:w="90" w:type="dxa"/>
              <w:bottom w:w="70" w:type="dxa"/>
              <w:end w:w="90" w:type="dxa"/>
            </w:tcMar>
          </w:tcPr>
          <w:p>
            <w:pPr>
              <w:widowControl/>
              <w:spacing w:after="0" w:line="247" w:lineRule="auto"/>
            </w:pPr>
            <w:r/>
            <w:r>
              <w:rPr>
                <w:rFonts w:ascii="Aptos" w:hAnsi="Aptos"/>
                <w:b w:val="0"/>
                <w:color w:val="202B33"/>
                <w:sz w:val="16"/>
              </w:rPr>
              <w:t>At risk / high-normal</w:t>
            </w:r>
          </w:p>
        </w:tc>
        <w:tc>
          <w:tcPr>
            <w:tcW w:type="dxa" w:w="1656"/>
            <w:vAlign w:val="center"/>
            <w:tcMar>
              <w:top w:w="70" w:type="dxa"/>
              <w:start w:w="90" w:type="dxa"/>
              <w:bottom w:w="70" w:type="dxa"/>
              <w:end w:w="90" w:type="dxa"/>
            </w:tcMar>
          </w:tcPr>
          <w:p>
            <w:pPr>
              <w:widowControl/>
              <w:spacing w:after="0" w:line="247" w:lineRule="auto"/>
            </w:pPr>
            <w:r/>
            <w:r>
              <w:rPr>
                <w:rFonts w:ascii="Aptos" w:hAnsi="Aptos"/>
                <w:b w:val="0"/>
                <w:color w:val="202B33"/>
                <w:sz w:val="16"/>
              </w:rPr>
              <w:t>130-139</w:t>
            </w:r>
          </w:p>
        </w:tc>
        <w:tc>
          <w:tcPr>
            <w:tcW w:type="dxa" w:w="1656"/>
            <w:vAlign w:val="center"/>
            <w:tcMar>
              <w:top w:w="70" w:type="dxa"/>
              <w:start w:w="90" w:type="dxa"/>
              <w:bottom w:w="70" w:type="dxa"/>
              <w:end w:w="90" w:type="dxa"/>
            </w:tcMar>
          </w:tcPr>
          <w:p>
            <w:pPr>
              <w:widowControl/>
              <w:spacing w:after="0" w:line="247" w:lineRule="auto"/>
            </w:pPr>
            <w:r/>
            <w:r>
              <w:rPr>
                <w:rFonts w:ascii="Aptos" w:hAnsi="Aptos"/>
                <w:b w:val="0"/>
                <w:color w:val="202B33"/>
                <w:sz w:val="16"/>
              </w:rPr>
              <w:t>85-89</w:t>
            </w:r>
          </w:p>
        </w:tc>
        <w:tc>
          <w:tcPr>
            <w:tcW w:type="dxa" w:w="3384"/>
            <w:vAlign w:val="center"/>
            <w:tcMar>
              <w:top w:w="70" w:type="dxa"/>
              <w:start w:w="90" w:type="dxa"/>
              <w:bottom w:w="70" w:type="dxa"/>
              <w:end w:w="90" w:type="dxa"/>
            </w:tcMar>
          </w:tcPr>
          <w:p>
            <w:pPr>
              <w:widowControl/>
              <w:spacing w:after="0" w:line="247" w:lineRule="auto"/>
            </w:pPr>
            <w:r/>
            <w:r>
              <w:rPr>
                <w:rFonts w:ascii="Aptos" w:hAnsi="Aptos"/>
                <w:b w:val="0"/>
                <w:color w:val="202B33"/>
                <w:sz w:val="16"/>
              </w:rPr>
              <w:t>Above optimal; monitor</w:t>
            </w:r>
          </w:p>
        </w:tc>
      </w:tr>
      <w:tr>
        <w:trPr>
          <w:cantSplit/>
        </w:trPr>
        <w:tc>
          <w:tcPr>
            <w:tcW w:type="dxa" w:w="32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Grade 1 hypertension</w:t>
            </w:r>
          </w:p>
        </w:tc>
        <w:tc>
          <w:tcPr>
            <w:tcW w:type="dxa" w:w="165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140-159</w:t>
            </w:r>
          </w:p>
        </w:tc>
        <w:tc>
          <w:tcPr>
            <w:tcW w:type="dxa" w:w="165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90-99</w:t>
            </w:r>
          </w:p>
        </w:tc>
        <w:tc>
          <w:tcPr>
            <w:tcW w:type="dxa" w:w="338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Raised - confirmation required</w:t>
            </w:r>
          </w:p>
        </w:tc>
      </w:tr>
      <w:tr>
        <w:trPr>
          <w:cantSplit/>
        </w:trPr>
        <w:tc>
          <w:tcPr>
            <w:tcW w:type="dxa" w:w="3240"/>
            <w:vAlign w:val="center"/>
            <w:tcMar>
              <w:top w:w="70" w:type="dxa"/>
              <w:start w:w="90" w:type="dxa"/>
              <w:bottom w:w="70" w:type="dxa"/>
              <w:end w:w="90" w:type="dxa"/>
            </w:tcMar>
          </w:tcPr>
          <w:p>
            <w:pPr>
              <w:widowControl/>
              <w:spacing w:after="0" w:line="247" w:lineRule="auto"/>
            </w:pPr>
            <w:r/>
            <w:r>
              <w:rPr>
                <w:rFonts w:ascii="Aptos" w:hAnsi="Aptos"/>
                <w:b w:val="0"/>
                <w:color w:val="202B33"/>
                <w:sz w:val="16"/>
              </w:rPr>
              <w:t>Grade 2 hypertension</w:t>
            </w:r>
          </w:p>
        </w:tc>
        <w:tc>
          <w:tcPr>
            <w:tcW w:type="dxa" w:w="1656"/>
            <w:vAlign w:val="center"/>
            <w:tcMar>
              <w:top w:w="70" w:type="dxa"/>
              <w:start w:w="90" w:type="dxa"/>
              <w:bottom w:w="70" w:type="dxa"/>
              <w:end w:w="90" w:type="dxa"/>
            </w:tcMar>
          </w:tcPr>
          <w:p>
            <w:pPr>
              <w:widowControl/>
              <w:spacing w:after="0" w:line="247" w:lineRule="auto"/>
            </w:pPr>
            <w:r/>
            <w:r>
              <w:rPr>
                <w:rFonts w:ascii="Aptos" w:hAnsi="Aptos"/>
                <w:b w:val="0"/>
                <w:color w:val="202B33"/>
                <w:sz w:val="16"/>
              </w:rPr>
              <w:t>160-179</w:t>
            </w:r>
          </w:p>
        </w:tc>
        <w:tc>
          <w:tcPr>
            <w:tcW w:type="dxa" w:w="1656"/>
            <w:vAlign w:val="center"/>
            <w:tcMar>
              <w:top w:w="70" w:type="dxa"/>
              <w:start w:w="90" w:type="dxa"/>
              <w:bottom w:w="70" w:type="dxa"/>
              <w:end w:w="90" w:type="dxa"/>
            </w:tcMar>
          </w:tcPr>
          <w:p>
            <w:pPr>
              <w:widowControl/>
              <w:spacing w:after="0" w:line="247" w:lineRule="auto"/>
            </w:pPr>
            <w:r/>
            <w:r>
              <w:rPr>
                <w:rFonts w:ascii="Aptos" w:hAnsi="Aptos"/>
                <w:b w:val="0"/>
                <w:color w:val="202B33"/>
                <w:sz w:val="16"/>
              </w:rPr>
              <w:t>100-109</w:t>
            </w:r>
          </w:p>
        </w:tc>
        <w:tc>
          <w:tcPr>
            <w:tcW w:type="dxa" w:w="3384"/>
            <w:vAlign w:val="center"/>
            <w:tcMar>
              <w:top w:w="70" w:type="dxa"/>
              <w:start w:w="90" w:type="dxa"/>
              <w:bottom w:w="70" w:type="dxa"/>
              <w:end w:w="90" w:type="dxa"/>
            </w:tcMar>
          </w:tcPr>
          <w:p>
            <w:pPr>
              <w:widowControl/>
              <w:spacing w:after="0" w:line="247" w:lineRule="auto"/>
            </w:pPr>
            <w:r/>
            <w:r>
              <w:rPr>
                <w:rFonts w:ascii="Aptos" w:hAnsi="Aptos"/>
                <w:b w:val="0"/>
                <w:color w:val="202B33"/>
                <w:sz w:val="16"/>
              </w:rPr>
              <w:t>High - prompt clinical review</w:t>
            </w:r>
          </w:p>
        </w:tc>
      </w:tr>
      <w:tr>
        <w:trPr>
          <w:cantSplit/>
        </w:trPr>
        <w:tc>
          <w:tcPr>
            <w:tcW w:type="dxa" w:w="32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Grade 3 hypertension</w:t>
            </w:r>
          </w:p>
        </w:tc>
        <w:tc>
          <w:tcPr>
            <w:tcW w:type="dxa" w:w="165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&gt;=180</w:t>
            </w:r>
          </w:p>
        </w:tc>
        <w:tc>
          <w:tcPr>
            <w:tcW w:type="dxa" w:w="165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&gt;=110</w:t>
            </w:r>
          </w:p>
        </w:tc>
        <w:tc>
          <w:tcPr>
            <w:tcW w:type="dxa" w:w="338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Very high - urgent assessment</w:t>
            </w:r>
          </w:p>
        </w:tc>
      </w:tr>
      <w:tr>
        <w:trPr>
          <w:cantSplit/>
        </w:trPr>
        <w:tc>
          <w:tcPr>
            <w:tcW w:type="dxa" w:w="3240"/>
            <w:vAlign w:val="center"/>
            <w:tcMar>
              <w:top w:w="70" w:type="dxa"/>
              <w:start w:w="90" w:type="dxa"/>
              <w:bottom w:w="70" w:type="dxa"/>
              <w:end w:w="90" w:type="dxa"/>
            </w:tcMar>
          </w:tcPr>
          <w:p>
            <w:pPr>
              <w:widowControl/>
              <w:spacing w:after="0" w:line="247" w:lineRule="auto"/>
            </w:pPr>
            <w:r/>
            <w:r>
              <w:rPr>
                <w:rFonts w:ascii="Aptos" w:hAnsi="Aptos"/>
                <w:b w:val="0"/>
                <w:color w:val="202B33"/>
                <w:sz w:val="16"/>
              </w:rPr>
              <w:t>Isolated systolic hypertension</w:t>
            </w:r>
          </w:p>
        </w:tc>
        <w:tc>
          <w:tcPr>
            <w:tcW w:type="dxa" w:w="1656"/>
            <w:vAlign w:val="center"/>
            <w:tcMar>
              <w:top w:w="70" w:type="dxa"/>
              <w:start w:w="90" w:type="dxa"/>
              <w:bottom w:w="70" w:type="dxa"/>
              <w:end w:w="90" w:type="dxa"/>
            </w:tcMar>
          </w:tcPr>
          <w:p>
            <w:pPr>
              <w:widowControl/>
              <w:spacing w:after="0" w:line="247" w:lineRule="auto"/>
            </w:pPr>
            <w:r/>
            <w:r>
              <w:rPr>
                <w:rFonts w:ascii="Aptos" w:hAnsi="Aptos"/>
                <w:b w:val="0"/>
                <w:color w:val="202B33"/>
                <w:sz w:val="16"/>
              </w:rPr>
              <w:t>&gt;=140</w:t>
            </w:r>
          </w:p>
        </w:tc>
        <w:tc>
          <w:tcPr>
            <w:tcW w:type="dxa" w:w="1656"/>
            <w:vAlign w:val="center"/>
            <w:tcMar>
              <w:top w:w="70" w:type="dxa"/>
              <w:start w:w="90" w:type="dxa"/>
              <w:bottom w:w="70" w:type="dxa"/>
              <w:end w:w="90" w:type="dxa"/>
            </w:tcMar>
          </w:tcPr>
          <w:p>
            <w:pPr>
              <w:widowControl/>
              <w:spacing w:after="0" w:line="247" w:lineRule="auto"/>
            </w:pPr>
            <w:r/>
            <w:r>
              <w:rPr>
                <w:rFonts w:ascii="Aptos" w:hAnsi="Aptos"/>
                <w:b w:val="0"/>
                <w:color w:val="202B33"/>
                <w:sz w:val="16"/>
              </w:rPr>
              <w:t>&lt;90</w:t>
            </w:r>
          </w:p>
        </w:tc>
        <w:tc>
          <w:tcPr>
            <w:tcW w:type="dxa" w:w="3384"/>
            <w:vAlign w:val="center"/>
            <w:tcMar>
              <w:top w:w="70" w:type="dxa"/>
              <w:start w:w="90" w:type="dxa"/>
              <w:bottom w:w="70" w:type="dxa"/>
              <w:end w:w="90" w:type="dxa"/>
            </w:tcMar>
          </w:tcPr>
          <w:p>
            <w:pPr>
              <w:widowControl/>
              <w:spacing w:after="0" w:line="247" w:lineRule="auto"/>
            </w:pPr>
            <w:r/>
            <w:r>
              <w:rPr>
                <w:rFonts w:ascii="Aptos" w:hAnsi="Aptos"/>
                <w:b w:val="0"/>
                <w:color w:val="202B33"/>
                <w:sz w:val="16"/>
              </w:rPr>
              <w:t>Raised systolic BP</w:t>
            </w:r>
          </w:p>
        </w:tc>
      </w:tr>
    </w:tbl>
    <w:p>
      <w:pPr>
        <w:spacing w:after="20"/>
      </w:pPr>
    </w:p>
    <w:p>
      <w:pPr>
        <w:pStyle w:val="TableSource"/>
      </w:pPr>
      <w:r>
        <w:t>Primary local source: Ministry of Health Malaysia, Management of Hypertension, 5th edition (2018).</w:t>
      </w:r>
    </w:p>
    <w:p>
      <w:pPr>
        <w:pStyle w:val="Heading2"/>
      </w:pPr>
      <w:r>
        <w:t>Confirmation and escalation logic</w:t>
      </w:r>
    </w:p>
    <w:p>
      <w:pPr>
        <w:pStyle w:val="ListBullet"/>
        <w:spacing w:after="40"/>
      </w:pPr>
      <w:r>
        <w:t>Store individual readings; do not average away a single extreme value before safety screening.</w:t>
      </w:r>
    </w:p>
    <w:p>
      <w:pPr>
        <w:pStyle w:val="ListBullet"/>
        <w:spacing w:after="40"/>
      </w:pPr>
      <w:r>
        <w:t>Ask about measurement technique, rest period, cuff size, caffeine/exercise, pain and home versus clinic setting.</w:t>
      </w:r>
    </w:p>
    <w:p>
      <w:pPr>
        <w:pStyle w:val="ListBullet"/>
        <w:spacing w:after="40"/>
      </w:pPr>
      <w:r>
        <w:t>BP &gt;=180/120 mmHg activates an immediate symptom screen.</w:t>
      </w:r>
    </w:p>
    <w:p>
      <w:pPr>
        <w:pStyle w:val="ListBullet"/>
        <w:spacing w:after="40"/>
      </w:pPr>
      <w:r>
        <w:t>BP &gt;=180/120 with chest pain, breathlessness, focal weakness, speech difficulty, confusion, severe headache or visual disturbance activates emergency guidance.</w:t>
      </w:r>
    </w:p>
    <w:p>
      <w:pPr>
        <w:pStyle w:val="ListBullet"/>
        <w:spacing w:after="40"/>
      </w:pPr>
      <w:r>
        <w:t>Pregnancy or postpartum status routes to a separate obstetric hypertension pathway.</w:t>
      </w:r>
    </w:p>
    <w:p>
      <w:pPr>
        <w:pStyle w:val="Heading1"/>
      </w:pPr>
      <w:r>
        <w:t>3. Framingham General Cardiovascular Risk Score</w:t>
      </w:r>
    </w:p>
    <w:p>
      <w:r>
        <w:t>SQUARE should implement the sex-specific 2008 general CVD model used in Malaysian risk assessment, not mix coefficients from the older coronary-only score.</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3168"/>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Required input</w:t>
            </w:r>
          </w:p>
        </w:tc>
        <w:tc>
          <w:tcPr>
            <w:tcW w:type="dxa" w:w="6768"/>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Validation rule</w:t>
            </w:r>
          </w:p>
        </w:tc>
      </w:tr>
      <w:tr>
        <w:trPr>
          <w:cantSplit/>
        </w:trPr>
        <w:tc>
          <w:tcPr>
            <w:tcW w:type="dxa" w:w="3168"/>
            <w:vAlign w:val="center"/>
            <w:tcMar>
              <w:top w:w="70" w:type="dxa"/>
              <w:start w:w="90" w:type="dxa"/>
              <w:bottom w:w="70" w:type="dxa"/>
              <w:end w:w="90" w:type="dxa"/>
            </w:tcMar>
          </w:tcPr>
          <w:p>
            <w:pPr>
              <w:widowControl/>
              <w:spacing w:after="0" w:line="247" w:lineRule="auto"/>
            </w:pPr>
            <w:r/>
            <w:r>
              <w:rPr>
                <w:rFonts w:ascii="Aptos" w:hAnsi="Aptos"/>
                <w:b w:val="0"/>
                <w:color w:val="202B33"/>
                <w:sz w:val="16"/>
              </w:rPr>
              <w:t>Sex</w:t>
            </w:r>
          </w:p>
        </w:tc>
        <w:tc>
          <w:tcPr>
            <w:tcW w:type="dxa" w:w="6768"/>
            <w:vAlign w:val="center"/>
            <w:tcMar>
              <w:top w:w="70" w:type="dxa"/>
              <w:start w:w="90" w:type="dxa"/>
              <w:bottom w:w="70" w:type="dxa"/>
              <w:end w:w="90" w:type="dxa"/>
            </w:tcMar>
          </w:tcPr>
          <w:p>
            <w:pPr>
              <w:widowControl/>
              <w:spacing w:after="0" w:line="247" w:lineRule="auto"/>
            </w:pPr>
            <w:r/>
            <w:r>
              <w:rPr>
                <w:rFonts w:ascii="Aptos" w:hAnsi="Aptos"/>
                <w:b w:val="0"/>
                <w:color w:val="202B33"/>
                <w:sz w:val="16"/>
              </w:rPr>
              <w:t>Use model-defined male/female equation; document inclusivity limitation</w:t>
            </w:r>
          </w:p>
        </w:tc>
      </w:tr>
      <w:tr>
        <w:trPr>
          <w:cantSplit/>
        </w:trPr>
        <w:tc>
          <w:tcPr>
            <w:tcW w:type="dxa" w:w="31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Age</w:t>
            </w:r>
          </w:p>
        </w:tc>
        <w:tc>
          <w:tcPr>
            <w:tcW w:type="dxa" w:w="67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Use only within the adopted model range</w:t>
            </w:r>
          </w:p>
        </w:tc>
      </w:tr>
      <w:tr>
        <w:trPr>
          <w:cantSplit/>
        </w:trPr>
        <w:tc>
          <w:tcPr>
            <w:tcW w:type="dxa" w:w="3168"/>
            <w:vAlign w:val="center"/>
            <w:tcMar>
              <w:top w:w="70" w:type="dxa"/>
              <w:start w:w="90" w:type="dxa"/>
              <w:bottom w:w="70" w:type="dxa"/>
              <w:end w:w="90" w:type="dxa"/>
            </w:tcMar>
          </w:tcPr>
          <w:p>
            <w:pPr>
              <w:widowControl/>
              <w:spacing w:after="0" w:line="247" w:lineRule="auto"/>
            </w:pPr>
            <w:r/>
            <w:r>
              <w:rPr>
                <w:rFonts w:ascii="Aptos" w:hAnsi="Aptos"/>
                <w:b w:val="0"/>
                <w:color w:val="202B33"/>
                <w:sz w:val="16"/>
              </w:rPr>
              <w:t>Total cholesterol and HDL-C</w:t>
            </w:r>
          </w:p>
        </w:tc>
        <w:tc>
          <w:tcPr>
            <w:tcW w:type="dxa" w:w="6768"/>
            <w:vAlign w:val="center"/>
            <w:tcMar>
              <w:top w:w="70" w:type="dxa"/>
              <w:start w:w="90" w:type="dxa"/>
              <w:bottom w:w="70" w:type="dxa"/>
              <w:end w:w="90" w:type="dxa"/>
            </w:tcMar>
          </w:tcPr>
          <w:p>
            <w:pPr>
              <w:widowControl/>
              <w:spacing w:after="0" w:line="247" w:lineRule="auto"/>
            </w:pPr>
            <w:r/>
            <w:r>
              <w:rPr>
                <w:rFonts w:ascii="Aptos" w:hAnsi="Aptos"/>
                <w:b w:val="0"/>
                <w:color w:val="202B33"/>
                <w:sz w:val="16"/>
              </w:rPr>
              <w:t>Same collection date and compatible units</w:t>
            </w:r>
          </w:p>
        </w:tc>
      </w:tr>
      <w:tr>
        <w:trPr>
          <w:cantSplit/>
        </w:trPr>
        <w:tc>
          <w:tcPr>
            <w:tcW w:type="dxa" w:w="31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Systolic BP</w:t>
            </w:r>
          </w:p>
        </w:tc>
        <w:tc>
          <w:tcPr>
            <w:tcW w:type="dxa" w:w="67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Pair with treated versus untreated status</w:t>
            </w:r>
          </w:p>
        </w:tc>
      </w:tr>
      <w:tr>
        <w:trPr>
          <w:cantSplit/>
        </w:trPr>
        <w:tc>
          <w:tcPr>
            <w:tcW w:type="dxa" w:w="3168"/>
            <w:vAlign w:val="center"/>
            <w:tcMar>
              <w:top w:w="70" w:type="dxa"/>
              <w:start w:w="90" w:type="dxa"/>
              <w:bottom w:w="70" w:type="dxa"/>
              <w:end w:w="90" w:type="dxa"/>
            </w:tcMar>
          </w:tcPr>
          <w:p>
            <w:pPr>
              <w:widowControl/>
              <w:spacing w:after="0" w:line="247" w:lineRule="auto"/>
            </w:pPr>
            <w:r/>
            <w:r>
              <w:rPr>
                <w:rFonts w:ascii="Aptos" w:hAnsi="Aptos"/>
                <w:b w:val="0"/>
                <w:color w:val="202B33"/>
                <w:sz w:val="16"/>
              </w:rPr>
              <w:t>Smoking</w:t>
            </w:r>
          </w:p>
        </w:tc>
        <w:tc>
          <w:tcPr>
            <w:tcW w:type="dxa" w:w="6768"/>
            <w:vAlign w:val="center"/>
            <w:tcMar>
              <w:top w:w="70" w:type="dxa"/>
              <w:start w:w="90" w:type="dxa"/>
              <w:bottom w:w="70" w:type="dxa"/>
              <w:end w:w="90" w:type="dxa"/>
            </w:tcMar>
          </w:tcPr>
          <w:p>
            <w:pPr>
              <w:widowControl/>
              <w:spacing w:after="0" w:line="247" w:lineRule="auto"/>
            </w:pPr>
            <w:r/>
            <w:r>
              <w:rPr>
                <w:rFonts w:ascii="Aptos" w:hAnsi="Aptos"/>
                <w:b w:val="0"/>
                <w:color w:val="202B33"/>
                <w:sz w:val="16"/>
              </w:rPr>
              <w:t>Current smoking definition must be explicit</w:t>
            </w:r>
          </w:p>
        </w:tc>
      </w:tr>
      <w:tr>
        <w:trPr>
          <w:cantSplit/>
        </w:trPr>
        <w:tc>
          <w:tcPr>
            <w:tcW w:type="dxa" w:w="31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Diabetes</w:t>
            </w:r>
          </w:p>
        </w:tc>
        <w:tc>
          <w:tcPr>
            <w:tcW w:type="dxa" w:w="67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Use confirmed status, not one unconfirmed elevated glucose</w:t>
            </w:r>
          </w:p>
        </w:tc>
      </w:tr>
      <w:tr>
        <w:trPr>
          <w:cantSplit/>
        </w:trPr>
        <w:tc>
          <w:tcPr>
            <w:tcW w:type="dxa" w:w="3168"/>
            <w:vAlign w:val="center"/>
            <w:tcMar>
              <w:top w:w="70" w:type="dxa"/>
              <w:start w:w="90" w:type="dxa"/>
              <w:bottom w:w="70" w:type="dxa"/>
              <w:end w:w="90" w:type="dxa"/>
            </w:tcMar>
          </w:tcPr>
          <w:p>
            <w:pPr>
              <w:widowControl/>
              <w:spacing w:after="0" w:line="247" w:lineRule="auto"/>
            </w:pPr>
            <w:r/>
            <w:r>
              <w:rPr>
                <w:rFonts w:ascii="Aptos" w:hAnsi="Aptos"/>
                <w:b w:val="0"/>
                <w:color w:val="202B33"/>
                <w:sz w:val="16"/>
              </w:rPr>
              <w:t>Established CVD</w:t>
            </w:r>
          </w:p>
        </w:tc>
        <w:tc>
          <w:tcPr>
            <w:tcW w:type="dxa" w:w="6768"/>
            <w:vAlign w:val="center"/>
            <w:tcMar>
              <w:top w:w="70" w:type="dxa"/>
              <w:start w:w="90" w:type="dxa"/>
              <w:bottom w:w="70" w:type="dxa"/>
              <w:end w:w="90" w:type="dxa"/>
            </w:tcMar>
          </w:tcPr>
          <w:p>
            <w:pPr>
              <w:widowControl/>
              <w:spacing w:after="0" w:line="247" w:lineRule="auto"/>
            </w:pPr>
            <w:r/>
            <w:r>
              <w:rPr>
                <w:rFonts w:ascii="Aptos" w:hAnsi="Aptos"/>
                <w:b w:val="0"/>
                <w:color w:val="202B33"/>
                <w:sz w:val="16"/>
              </w:rPr>
              <w:t>If present, bypass FRS and enter secondary-prevention pathway</w:t>
            </w:r>
          </w:p>
        </w:tc>
      </w:tr>
    </w:tbl>
    <w:p>
      <w:pPr>
        <w:spacing w:after="20"/>
      </w:pP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2448"/>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10-year predicted risk</w:t>
            </w:r>
          </w:p>
        </w:tc>
        <w:tc>
          <w:tcPr>
            <w:tcW w:type="dxa" w:w="2376"/>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SQUARE category</w:t>
            </w:r>
          </w:p>
        </w:tc>
        <w:tc>
          <w:tcPr>
            <w:tcW w:type="dxa" w:w="5112"/>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Display</w:t>
            </w:r>
          </w:p>
        </w:tc>
      </w:tr>
      <w:tr>
        <w:trPr>
          <w:cantSplit/>
        </w:trPr>
        <w:tc>
          <w:tcPr>
            <w:tcW w:type="dxa" w:w="2448"/>
            <w:vAlign w:val="center"/>
            <w:tcMar>
              <w:top w:w="70" w:type="dxa"/>
              <w:start w:w="90" w:type="dxa"/>
              <w:bottom w:w="70" w:type="dxa"/>
              <w:end w:w="90" w:type="dxa"/>
            </w:tcMar>
          </w:tcPr>
          <w:p>
            <w:pPr>
              <w:widowControl/>
              <w:spacing w:after="0" w:line="247" w:lineRule="auto"/>
            </w:pPr>
            <w:r/>
            <w:r>
              <w:rPr>
                <w:rFonts w:ascii="Aptos" w:hAnsi="Aptos"/>
                <w:b w:val="0"/>
                <w:color w:val="202B33"/>
                <w:sz w:val="16"/>
              </w:rPr>
              <w:t>&lt;10%</w:t>
            </w:r>
          </w:p>
        </w:tc>
        <w:tc>
          <w:tcPr>
            <w:tcW w:type="dxa" w:w="2376"/>
            <w:vAlign w:val="center"/>
            <w:tcMar>
              <w:top w:w="70" w:type="dxa"/>
              <w:start w:w="90" w:type="dxa"/>
              <w:bottom w:w="70" w:type="dxa"/>
              <w:end w:w="90" w:type="dxa"/>
            </w:tcMar>
          </w:tcPr>
          <w:p>
            <w:pPr>
              <w:widowControl/>
              <w:spacing w:after="0" w:line="247" w:lineRule="auto"/>
            </w:pPr>
            <w:r/>
            <w:r>
              <w:rPr>
                <w:rFonts w:ascii="Aptos" w:hAnsi="Aptos"/>
                <w:b w:val="0"/>
                <w:color w:val="202B33"/>
                <w:sz w:val="16"/>
              </w:rPr>
              <w:t>Low</w:t>
            </w:r>
          </w:p>
        </w:tc>
        <w:tc>
          <w:tcPr>
            <w:tcW w:type="dxa" w:w="5112"/>
            <w:vAlign w:val="center"/>
            <w:tcMar>
              <w:top w:w="70" w:type="dxa"/>
              <w:start w:w="90" w:type="dxa"/>
              <w:bottom w:w="70" w:type="dxa"/>
              <w:end w:w="90" w:type="dxa"/>
            </w:tcMar>
          </w:tcPr>
          <w:p>
            <w:pPr>
              <w:widowControl/>
              <w:spacing w:after="0" w:line="247" w:lineRule="auto"/>
            </w:pPr>
            <w:r/>
            <w:r>
              <w:rPr>
                <w:rFonts w:ascii="Aptos" w:hAnsi="Aptos"/>
                <w:b w:val="0"/>
                <w:color w:val="202B33"/>
                <w:sz w:val="16"/>
              </w:rPr>
              <w:t>Percentage plus risk-factor summary</w:t>
            </w:r>
          </w:p>
        </w:tc>
      </w:tr>
      <w:tr>
        <w:trPr>
          <w:cantSplit/>
        </w:trPr>
        <w:tc>
          <w:tcPr>
            <w:tcW w:type="dxa" w:w="244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10-19.9%</w:t>
            </w:r>
          </w:p>
        </w:tc>
        <w:tc>
          <w:tcPr>
            <w:tcW w:type="dxa" w:w="237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Intermediate</w:t>
            </w:r>
          </w:p>
        </w:tc>
        <w:tc>
          <w:tcPr>
            <w:tcW w:type="dxa" w:w="511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Percentage plus risk modifiers</w:t>
            </w:r>
          </w:p>
        </w:tc>
      </w:tr>
      <w:tr>
        <w:trPr>
          <w:cantSplit/>
        </w:trPr>
        <w:tc>
          <w:tcPr>
            <w:tcW w:type="dxa" w:w="2448"/>
            <w:vAlign w:val="center"/>
            <w:tcMar>
              <w:top w:w="70" w:type="dxa"/>
              <w:start w:w="90" w:type="dxa"/>
              <w:bottom w:w="70" w:type="dxa"/>
              <w:end w:w="90" w:type="dxa"/>
            </w:tcMar>
          </w:tcPr>
          <w:p>
            <w:pPr>
              <w:widowControl/>
              <w:spacing w:after="0" w:line="247" w:lineRule="auto"/>
            </w:pPr>
            <w:r/>
            <w:r>
              <w:rPr>
                <w:rFonts w:ascii="Aptos" w:hAnsi="Aptos"/>
                <w:b w:val="0"/>
                <w:color w:val="202B33"/>
                <w:sz w:val="16"/>
              </w:rPr>
              <w:t>&gt;=20%</w:t>
            </w:r>
          </w:p>
        </w:tc>
        <w:tc>
          <w:tcPr>
            <w:tcW w:type="dxa" w:w="2376"/>
            <w:vAlign w:val="center"/>
            <w:tcMar>
              <w:top w:w="70" w:type="dxa"/>
              <w:start w:w="90" w:type="dxa"/>
              <w:bottom w:w="70" w:type="dxa"/>
              <w:end w:w="90" w:type="dxa"/>
            </w:tcMar>
          </w:tcPr>
          <w:p>
            <w:pPr>
              <w:widowControl/>
              <w:spacing w:after="0" w:line="247" w:lineRule="auto"/>
            </w:pPr>
            <w:r/>
            <w:r>
              <w:rPr>
                <w:rFonts w:ascii="Aptos" w:hAnsi="Aptos"/>
                <w:b w:val="0"/>
                <w:color w:val="202B33"/>
                <w:sz w:val="16"/>
              </w:rPr>
              <w:t>High</w:t>
            </w:r>
          </w:p>
        </w:tc>
        <w:tc>
          <w:tcPr>
            <w:tcW w:type="dxa" w:w="5112"/>
            <w:vAlign w:val="center"/>
            <w:tcMar>
              <w:top w:w="70" w:type="dxa"/>
              <w:start w:w="90" w:type="dxa"/>
              <w:bottom w:w="70" w:type="dxa"/>
              <w:end w:w="90" w:type="dxa"/>
            </w:tcMar>
          </w:tcPr>
          <w:p>
            <w:pPr>
              <w:widowControl/>
              <w:spacing w:after="0" w:line="247" w:lineRule="auto"/>
            </w:pPr>
            <w:r/>
            <w:r>
              <w:rPr>
                <w:rFonts w:ascii="Aptos" w:hAnsi="Aptos"/>
                <w:b w:val="0"/>
                <w:color w:val="202B33"/>
                <w:sz w:val="16"/>
              </w:rPr>
              <w:t>Percentage plus clinician-review recommendation</w:t>
            </w:r>
          </w:p>
        </w:tc>
      </w:tr>
    </w:tbl>
    <w:p>
      <w:pPr>
        <w:spacing w:after="20"/>
      </w:pP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A33A3A"/>
                <w:sz w:val="18"/>
              </w:rPr>
              <w:t>DO NOT CALCULATE</w:t>
            </w:r>
          </w:p>
          <w:p>
            <w:pPr>
              <w:widowControl/>
              <w:spacing w:after="0" w:line="259" w:lineRule="auto"/>
            </w:pPr>
            <w:r>
              <w:rPr>
                <w:sz w:val="18"/>
              </w:rPr>
              <w:t>Do not use FRS as reassurance in established ASCVD, acute symptoms, pregnancy, missing core inputs or populations outside the adopted equation range. CKD, very high LDL-C, familial hypercholesterolaemia and markedly elevated Lp(a) can confer important risk not fully represented by the percentage.</w:t>
            </w:r>
          </w:p>
        </w:tc>
      </w:tr>
    </w:tbl>
    <w:p>
      <w:pPr>
        <w:spacing w:after="20"/>
      </w:pPr>
    </w:p>
    <w:p>
      <w:pPr>
        <w:pStyle w:val="Heading1"/>
      </w:pPr>
      <w:r>
        <w:t>4. Lipid profile and derived indicators</w:t>
      </w:r>
    </w:p>
    <w:p>
      <w:r>
        <w:t>The report should keep measured values visible and separate three concepts: cholesterol concentration, atherogenic particle burden, and whole-person event risk.</w:t>
      </w:r>
    </w:p>
    <w:p>
      <w:pPr>
        <w:pStyle w:val="Heading2"/>
      </w:pPr>
      <w:r>
        <w:t>4.1 Core measurements</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728"/>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Marker</w:t>
            </w:r>
          </w:p>
        </w:tc>
        <w:tc>
          <w:tcPr>
            <w:tcW w:type="dxa" w:w="3240"/>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Primary role</w:t>
            </w:r>
          </w:p>
        </w:tc>
        <w:tc>
          <w:tcPr>
            <w:tcW w:type="dxa" w:w="4968"/>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Key implementation note</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6"/>
              </w:rPr>
              <w:t>Total cholesterol</w:t>
            </w:r>
          </w:p>
        </w:tc>
        <w:tc>
          <w:tcPr>
            <w:tcW w:type="dxa" w:w="3240"/>
            <w:vAlign w:val="center"/>
            <w:tcMar>
              <w:top w:w="70" w:type="dxa"/>
              <w:start w:w="90" w:type="dxa"/>
              <w:bottom w:w="70" w:type="dxa"/>
              <w:end w:w="90" w:type="dxa"/>
            </w:tcMar>
          </w:tcPr>
          <w:p>
            <w:pPr>
              <w:widowControl/>
              <w:spacing w:after="0" w:line="247" w:lineRule="auto"/>
            </w:pPr>
            <w:r/>
            <w:r>
              <w:rPr>
                <w:rFonts w:ascii="Aptos" w:hAnsi="Aptos"/>
                <w:b w:val="0"/>
                <w:color w:val="202B33"/>
                <w:sz w:val="16"/>
              </w:rPr>
              <w:t>Overall cholesterol concentration</w:t>
            </w:r>
          </w:p>
        </w:tc>
        <w:tc>
          <w:tcPr>
            <w:tcW w:type="dxa" w:w="4968"/>
            <w:vAlign w:val="center"/>
            <w:tcMar>
              <w:top w:w="70" w:type="dxa"/>
              <w:start w:w="90" w:type="dxa"/>
              <w:bottom w:w="70" w:type="dxa"/>
              <w:end w:w="90" w:type="dxa"/>
            </w:tcMar>
          </w:tcPr>
          <w:p>
            <w:pPr>
              <w:widowControl/>
              <w:spacing w:after="0" w:line="247" w:lineRule="auto"/>
            </w:pPr>
            <w:r/>
            <w:r>
              <w:rPr>
                <w:rFonts w:ascii="Aptos" w:hAnsi="Aptos"/>
                <w:b w:val="0"/>
                <w:color w:val="202B33"/>
                <w:sz w:val="16"/>
              </w:rPr>
              <w:t>Not a treatment target by itself</w:t>
            </w:r>
          </w:p>
        </w:tc>
      </w:tr>
      <w:tr>
        <w:trPr>
          <w:cantSplit/>
        </w:trPr>
        <w:tc>
          <w:tcPr>
            <w:tcW w:type="dxa" w:w="17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LDL-C</w:t>
            </w:r>
          </w:p>
        </w:tc>
        <w:tc>
          <w:tcPr>
            <w:tcW w:type="dxa" w:w="32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Primary cholesterol treatment target</w:t>
            </w:r>
          </w:p>
        </w:tc>
        <w:tc>
          <w:tcPr>
            <w:tcW w:type="dxa" w:w="49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Flag calculated versus directly measured</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6"/>
              </w:rPr>
              <w:t>HDL-C</w:t>
            </w:r>
          </w:p>
        </w:tc>
        <w:tc>
          <w:tcPr>
            <w:tcW w:type="dxa" w:w="3240"/>
            <w:vAlign w:val="center"/>
            <w:tcMar>
              <w:top w:w="70" w:type="dxa"/>
              <w:start w:w="90" w:type="dxa"/>
              <w:bottom w:w="70" w:type="dxa"/>
              <w:end w:w="90" w:type="dxa"/>
            </w:tcMar>
          </w:tcPr>
          <w:p>
            <w:pPr>
              <w:widowControl/>
              <w:spacing w:after="0" w:line="247" w:lineRule="auto"/>
            </w:pPr>
            <w:r/>
            <w:r>
              <w:rPr>
                <w:rFonts w:ascii="Aptos" w:hAnsi="Aptos"/>
                <w:b w:val="0"/>
                <w:color w:val="202B33"/>
                <w:sz w:val="16"/>
              </w:rPr>
              <w:t>Risk-pattern component</w:t>
            </w:r>
          </w:p>
        </w:tc>
        <w:tc>
          <w:tcPr>
            <w:tcW w:type="dxa" w:w="4968"/>
            <w:vAlign w:val="center"/>
            <w:tcMar>
              <w:top w:w="70" w:type="dxa"/>
              <w:start w:w="90" w:type="dxa"/>
              <w:bottom w:w="70" w:type="dxa"/>
              <w:end w:w="90" w:type="dxa"/>
            </w:tcMar>
          </w:tcPr>
          <w:p>
            <w:pPr>
              <w:widowControl/>
              <w:spacing w:after="0" w:line="247" w:lineRule="auto"/>
            </w:pPr>
            <w:r/>
            <w:r>
              <w:rPr>
                <w:rFonts w:ascii="Aptos" w:hAnsi="Aptos"/>
                <w:b w:val="0"/>
                <w:color w:val="202B33"/>
                <w:sz w:val="16"/>
              </w:rPr>
              <w:t>High HDL-C must not cancel high LDL-C/ApoB</w:t>
            </w:r>
          </w:p>
        </w:tc>
      </w:tr>
      <w:tr>
        <w:trPr>
          <w:cantSplit/>
        </w:trPr>
        <w:tc>
          <w:tcPr>
            <w:tcW w:type="dxa" w:w="17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Triglycerides</w:t>
            </w:r>
          </w:p>
        </w:tc>
        <w:tc>
          <w:tcPr>
            <w:tcW w:type="dxa" w:w="32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Metabolic/remnant pattern; pancreatitis safety</w:t>
            </w:r>
          </w:p>
        </w:tc>
        <w:tc>
          <w:tcPr>
            <w:tcW w:type="dxa" w:w="49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Retain fasting status and check extreme values</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6"/>
              </w:rPr>
              <w:t>Non-HDL-C</w:t>
            </w:r>
          </w:p>
        </w:tc>
        <w:tc>
          <w:tcPr>
            <w:tcW w:type="dxa" w:w="3240"/>
            <w:vAlign w:val="center"/>
            <w:tcMar>
              <w:top w:w="70" w:type="dxa"/>
              <w:start w:w="90" w:type="dxa"/>
              <w:bottom w:w="70" w:type="dxa"/>
              <w:end w:w="90" w:type="dxa"/>
            </w:tcMar>
          </w:tcPr>
          <w:p>
            <w:pPr>
              <w:widowControl/>
              <w:spacing w:after="0" w:line="247" w:lineRule="auto"/>
            </w:pPr>
            <w:r/>
            <w:r>
              <w:rPr>
                <w:rFonts w:ascii="Aptos" w:hAnsi="Aptos"/>
                <w:b w:val="0"/>
                <w:color w:val="202B33"/>
                <w:sz w:val="16"/>
              </w:rPr>
              <w:t>Cholesterol in all ApoB-containing particles</w:t>
            </w:r>
          </w:p>
        </w:tc>
        <w:tc>
          <w:tcPr>
            <w:tcW w:type="dxa" w:w="4968"/>
            <w:vAlign w:val="center"/>
            <w:tcMar>
              <w:top w:w="70" w:type="dxa"/>
              <w:start w:w="90" w:type="dxa"/>
              <w:bottom w:w="70" w:type="dxa"/>
              <w:end w:w="90" w:type="dxa"/>
            </w:tcMar>
          </w:tcPr>
          <w:p>
            <w:pPr>
              <w:widowControl/>
              <w:spacing w:after="0" w:line="247" w:lineRule="auto"/>
            </w:pPr>
            <w:r/>
            <w:r>
              <w:rPr>
                <w:rFonts w:ascii="Aptos" w:hAnsi="Aptos"/>
                <w:b w:val="0"/>
                <w:color w:val="202B33"/>
                <w:sz w:val="16"/>
              </w:rPr>
              <w:t>Useful with high TG, diabetes and metabolic syndrome</w:t>
            </w:r>
          </w:p>
        </w:tc>
      </w:tr>
    </w:tbl>
    <w:p>
      <w:pPr>
        <w:spacing w:after="20"/>
      </w:pPr>
    </w:p>
    <w:p>
      <w:pPr>
        <w:spacing w:before="40" w:after="100"/>
        <w:jc w:val="center"/>
      </w:pPr>
      <w:r>
        <w:rPr>
          <w:rFonts w:ascii="Cambria Math" w:hAnsi="Cambria Math"/>
          <w:b/>
          <w:color w:val="17324D"/>
          <w:sz w:val="21"/>
        </w:rPr>
        <w:t>Non-HDL-C = Total cholesterol - HDL-C</w:t>
      </w:r>
    </w:p>
    <w:p>
      <w:pPr>
        <w:pStyle w:val="Heading2"/>
      </w:pPr>
      <w:r>
        <w:t>4.2 LDL-C calculation</w:t>
      </w:r>
    </w:p>
    <w:p>
      <w:pPr>
        <w:spacing w:before="40" w:after="100"/>
        <w:jc w:val="center"/>
      </w:pPr>
      <w:r>
        <w:rPr>
          <w:rFonts w:ascii="Cambria Math" w:hAnsi="Cambria Math"/>
          <w:b/>
          <w:color w:val="17324D"/>
          <w:sz w:val="21"/>
        </w:rPr>
        <w:t>Friedewald LDL-C (mmol/L) = TC - HDL-C - TG/2.2</w:t>
      </w:r>
    </w:p>
    <w:p>
      <w:pPr>
        <w:pStyle w:val="ListBullet"/>
        <w:spacing w:after="40"/>
      </w:pPr>
      <w:r>
        <w:t>Only calculate when all components use mmol/L.</w:t>
      </w:r>
    </w:p>
    <w:p>
      <w:pPr>
        <w:pStyle w:val="ListBullet"/>
        <w:spacing w:after="40"/>
      </w:pPr>
      <w:r>
        <w:t>Do not use the Friedewald result when triglycerides are &gt;=4.5 mmol/L or when the laboratory flags the calculation as invalid.</w:t>
      </w:r>
    </w:p>
    <w:p>
      <w:pPr>
        <w:pStyle w:val="ListBullet"/>
        <w:spacing w:after="40"/>
      </w:pPr>
      <w:r>
        <w:t>Prefer the laboratory-reported direct LDL-C or an adopted validated alternative equation when applicable.</w:t>
      </w:r>
    </w:p>
    <w:p>
      <w:pPr>
        <w:pStyle w:val="ListBullet"/>
        <w:spacing w:after="40"/>
      </w:pPr>
      <w:r>
        <w:t>Calculated LDL-C must be labelled as calculated.</w:t>
      </w:r>
    </w:p>
    <w:p>
      <w:pPr>
        <w:pStyle w:val="Heading2"/>
      </w:pPr>
      <w:r>
        <w:t>4.3 Atherogenic Index of Plasma (AIP)</w:t>
      </w:r>
    </w:p>
    <w:p>
      <w:pPr>
        <w:spacing w:before="40" w:after="100"/>
        <w:jc w:val="center"/>
      </w:pPr>
      <w:r>
        <w:rPr>
          <w:rFonts w:ascii="Cambria Math" w:hAnsi="Cambria Math"/>
          <w:b/>
          <w:color w:val="17324D"/>
          <w:sz w:val="21"/>
        </w:rPr>
        <w:t>AIP = log10 [ TG / HDL-C ]   (TG and HDL-C in mmol/L)</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584"/>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AIP</w:t>
            </w:r>
          </w:p>
        </w:tc>
        <w:tc>
          <w:tcPr>
            <w:tcW w:type="dxa" w:w="4536"/>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Conventional research interpretation</w:t>
            </w:r>
          </w:p>
        </w:tc>
        <w:tc>
          <w:tcPr>
            <w:tcW w:type="dxa" w:w="3816"/>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Platform status</w:t>
            </w:r>
          </w:p>
        </w:tc>
      </w:tr>
      <w:tr>
        <w:trPr>
          <w:cantSplit/>
        </w:trPr>
        <w:tc>
          <w:tcPr>
            <w:tcW w:type="dxa" w:w="1584"/>
            <w:vAlign w:val="center"/>
            <w:tcMar>
              <w:top w:w="70" w:type="dxa"/>
              <w:start w:w="90" w:type="dxa"/>
              <w:bottom w:w="70" w:type="dxa"/>
              <w:end w:w="90" w:type="dxa"/>
            </w:tcMar>
          </w:tcPr>
          <w:p>
            <w:pPr>
              <w:widowControl/>
              <w:spacing w:after="0" w:line="247" w:lineRule="auto"/>
            </w:pPr>
            <w:r/>
            <w:r>
              <w:rPr>
                <w:rFonts w:ascii="Aptos" w:hAnsi="Aptos"/>
                <w:b w:val="0"/>
                <w:color w:val="202B33"/>
                <w:sz w:val="16"/>
              </w:rPr>
              <w:t>&lt;0.11</w:t>
            </w:r>
          </w:p>
        </w:tc>
        <w:tc>
          <w:tcPr>
            <w:tcW w:type="dxa" w:w="4536"/>
            <w:vAlign w:val="center"/>
            <w:tcMar>
              <w:top w:w="70" w:type="dxa"/>
              <w:start w:w="90" w:type="dxa"/>
              <w:bottom w:w="70" w:type="dxa"/>
              <w:end w:w="90" w:type="dxa"/>
            </w:tcMar>
          </w:tcPr>
          <w:p>
            <w:pPr>
              <w:widowControl/>
              <w:spacing w:after="0" w:line="247" w:lineRule="auto"/>
            </w:pPr>
            <w:r/>
            <w:r>
              <w:rPr>
                <w:rFonts w:ascii="Aptos" w:hAnsi="Aptos"/>
                <w:b w:val="0"/>
                <w:color w:val="202B33"/>
                <w:sz w:val="16"/>
              </w:rPr>
              <w:t>Lower atherogenic pattern</w:t>
            </w:r>
          </w:p>
        </w:tc>
        <w:tc>
          <w:tcPr>
            <w:tcW w:type="dxa" w:w="3816"/>
            <w:vAlign w:val="center"/>
            <w:tcMar>
              <w:top w:w="70" w:type="dxa"/>
              <w:start w:w="90" w:type="dxa"/>
              <w:bottom w:w="70" w:type="dxa"/>
              <w:end w:w="90" w:type="dxa"/>
            </w:tcMar>
          </w:tcPr>
          <w:p>
            <w:pPr>
              <w:widowControl/>
              <w:spacing w:after="0" w:line="247" w:lineRule="auto"/>
            </w:pPr>
            <w:r/>
            <w:r>
              <w:rPr>
                <w:rFonts w:ascii="Aptos" w:hAnsi="Aptos"/>
                <w:b w:val="0"/>
                <w:color w:val="202B33"/>
                <w:sz w:val="16"/>
              </w:rPr>
              <w:t>Supplementary</w:t>
            </w:r>
          </w:p>
        </w:tc>
      </w:tr>
      <w:tr>
        <w:trPr>
          <w:cantSplit/>
        </w:trPr>
        <w:tc>
          <w:tcPr>
            <w:tcW w:type="dxa" w:w="158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0.11-0.21</w:t>
            </w:r>
          </w:p>
        </w:tc>
        <w:tc>
          <w:tcPr>
            <w:tcW w:type="dxa" w:w="453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Intermediate pattern</w:t>
            </w:r>
          </w:p>
        </w:tc>
        <w:tc>
          <w:tcPr>
            <w:tcW w:type="dxa" w:w="381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Supplementary</w:t>
            </w:r>
          </w:p>
        </w:tc>
      </w:tr>
      <w:tr>
        <w:trPr>
          <w:cantSplit/>
        </w:trPr>
        <w:tc>
          <w:tcPr>
            <w:tcW w:type="dxa" w:w="1584"/>
            <w:vAlign w:val="center"/>
            <w:tcMar>
              <w:top w:w="70" w:type="dxa"/>
              <w:start w:w="90" w:type="dxa"/>
              <w:bottom w:w="70" w:type="dxa"/>
              <w:end w:w="90" w:type="dxa"/>
            </w:tcMar>
          </w:tcPr>
          <w:p>
            <w:pPr>
              <w:widowControl/>
              <w:spacing w:after="0" w:line="247" w:lineRule="auto"/>
            </w:pPr>
            <w:r/>
            <w:r>
              <w:rPr>
                <w:rFonts w:ascii="Aptos" w:hAnsi="Aptos"/>
                <w:b w:val="0"/>
                <w:color w:val="202B33"/>
                <w:sz w:val="16"/>
              </w:rPr>
              <w:t>&gt;0.21</w:t>
            </w:r>
          </w:p>
        </w:tc>
        <w:tc>
          <w:tcPr>
            <w:tcW w:type="dxa" w:w="4536"/>
            <w:vAlign w:val="center"/>
            <w:tcMar>
              <w:top w:w="70" w:type="dxa"/>
              <w:start w:w="90" w:type="dxa"/>
              <w:bottom w:w="70" w:type="dxa"/>
              <w:end w:w="90" w:type="dxa"/>
            </w:tcMar>
          </w:tcPr>
          <w:p>
            <w:pPr>
              <w:widowControl/>
              <w:spacing w:after="0" w:line="247" w:lineRule="auto"/>
            </w:pPr>
            <w:r/>
            <w:r>
              <w:rPr>
                <w:rFonts w:ascii="Aptos" w:hAnsi="Aptos"/>
                <w:b w:val="0"/>
                <w:color w:val="202B33"/>
                <w:sz w:val="16"/>
              </w:rPr>
              <w:t>Higher atherogenic pattern</w:t>
            </w:r>
          </w:p>
        </w:tc>
        <w:tc>
          <w:tcPr>
            <w:tcW w:type="dxa" w:w="3816"/>
            <w:vAlign w:val="center"/>
            <w:tcMar>
              <w:top w:w="70" w:type="dxa"/>
              <w:start w:w="90" w:type="dxa"/>
              <w:bottom w:w="70" w:type="dxa"/>
              <w:end w:w="90" w:type="dxa"/>
            </w:tcMar>
          </w:tcPr>
          <w:p>
            <w:pPr>
              <w:widowControl/>
              <w:spacing w:after="0" w:line="247" w:lineRule="auto"/>
            </w:pPr>
            <w:r/>
            <w:r>
              <w:rPr>
                <w:rFonts w:ascii="Aptos" w:hAnsi="Aptos"/>
                <w:b w:val="0"/>
                <w:color w:val="202B33"/>
                <w:sz w:val="16"/>
              </w:rPr>
              <w:t>Supplementary</w:t>
            </w:r>
          </w:p>
        </w:tc>
      </w:tr>
    </w:tbl>
    <w:p>
      <w:pPr>
        <w:spacing w:after="20"/>
      </w:pP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9A6B16"/>
                <w:sz w:val="18"/>
              </w:rPr>
              <w:t>AIP SAFEGUARD</w:t>
            </w:r>
          </w:p>
          <w:p>
            <w:pPr>
              <w:widowControl/>
              <w:spacing w:after="0" w:line="259" w:lineRule="auto"/>
            </w:pPr>
            <w:r>
              <w:rPr>
                <w:sz w:val="18"/>
              </w:rPr>
              <w:t>These bands are commonly used research conventions, not universal treatment thresholds. Prefer a fasting sample. AIP must not override LDL-C, non-HDL-C, ApoB, Lp(a), established disease or overall risk.</w:t>
            </w:r>
          </w:p>
        </w:tc>
      </w:tr>
    </w:tbl>
    <w:p>
      <w:pPr>
        <w:spacing w:after="20"/>
      </w:pPr>
    </w:p>
    <w:p>
      <w:pPr>
        <w:pStyle w:val="Heading2"/>
      </w:pPr>
      <w:r>
        <w:t>4.4 Castelli indices and atherogenic coefficient</w:t>
      </w:r>
    </w:p>
    <w:p>
      <w:pPr>
        <w:spacing w:before="40" w:after="100"/>
        <w:jc w:val="center"/>
      </w:pPr>
      <w:r>
        <w:rPr>
          <w:rFonts w:ascii="Cambria Math" w:hAnsi="Cambria Math"/>
          <w:b/>
          <w:color w:val="17324D"/>
          <w:sz w:val="21"/>
        </w:rPr>
        <w:t>Castelli I = TC / HDL-C     |     Castelli II = LDL-C / HDL-C</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728"/>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Index</w:t>
            </w:r>
          </w:p>
        </w:tc>
        <w:tc>
          <w:tcPr>
            <w:tcW w:type="dxa" w:w="2880"/>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Conventional desirable range</w:t>
            </w:r>
          </w:p>
        </w:tc>
        <w:tc>
          <w:tcPr>
            <w:tcW w:type="dxa" w:w="2520"/>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Higher pattern</w:t>
            </w:r>
          </w:p>
        </w:tc>
        <w:tc>
          <w:tcPr>
            <w:tcW w:type="dxa" w:w="2808"/>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Important caveat</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5"/>
              </w:rPr>
              <w:t>Castelli I</w:t>
            </w:r>
          </w:p>
        </w:tc>
        <w:tc>
          <w:tcPr>
            <w:tcW w:type="dxa" w:w="2880"/>
            <w:vAlign w:val="center"/>
            <w:tcMar>
              <w:top w:w="70" w:type="dxa"/>
              <w:start w:w="90" w:type="dxa"/>
              <w:bottom w:w="70" w:type="dxa"/>
              <w:end w:w="90" w:type="dxa"/>
            </w:tcMar>
          </w:tcPr>
          <w:p>
            <w:pPr>
              <w:widowControl/>
              <w:spacing w:after="0" w:line="247" w:lineRule="auto"/>
            </w:pPr>
            <w:r/>
            <w:r>
              <w:rPr>
                <w:rFonts w:ascii="Aptos" w:hAnsi="Aptos"/>
                <w:b w:val="0"/>
                <w:color w:val="202B33"/>
                <w:sz w:val="15"/>
              </w:rPr>
              <w:t>Men &lt;4.0; women &lt;3.5</w:t>
            </w:r>
          </w:p>
        </w:tc>
        <w:tc>
          <w:tcPr>
            <w:tcW w:type="dxa" w:w="2520"/>
            <w:vAlign w:val="center"/>
            <w:tcMar>
              <w:top w:w="70" w:type="dxa"/>
              <w:start w:w="90" w:type="dxa"/>
              <w:bottom w:w="70" w:type="dxa"/>
              <w:end w:w="90" w:type="dxa"/>
            </w:tcMar>
          </w:tcPr>
          <w:p>
            <w:pPr>
              <w:widowControl/>
              <w:spacing w:after="0" w:line="247" w:lineRule="auto"/>
            </w:pPr>
            <w:r/>
            <w:r>
              <w:rPr>
                <w:rFonts w:ascii="Aptos" w:hAnsi="Aptos"/>
                <w:b w:val="0"/>
                <w:color w:val="202B33"/>
                <w:sz w:val="15"/>
              </w:rPr>
              <w:t>Men &gt;5.0; women &gt;4.5</w:t>
            </w:r>
          </w:p>
        </w:tc>
        <w:tc>
          <w:tcPr>
            <w:tcW w:type="dxa" w:w="2808"/>
            <w:vAlign w:val="center"/>
            <w:tcMar>
              <w:top w:w="70" w:type="dxa"/>
              <w:start w:w="90" w:type="dxa"/>
              <w:bottom w:w="70" w:type="dxa"/>
              <w:end w:w="90" w:type="dxa"/>
            </w:tcMar>
          </w:tcPr>
          <w:p>
            <w:pPr>
              <w:widowControl/>
              <w:spacing w:after="0" w:line="247" w:lineRule="auto"/>
            </w:pPr>
            <w:r/>
            <w:r>
              <w:rPr>
                <w:rFonts w:ascii="Aptos" w:hAnsi="Aptos"/>
                <w:b w:val="0"/>
                <w:color w:val="202B33"/>
                <w:sz w:val="15"/>
              </w:rPr>
              <w:t>No universal treatment threshold</w:t>
            </w:r>
          </w:p>
        </w:tc>
      </w:tr>
      <w:tr>
        <w:trPr>
          <w:cantSplit/>
        </w:trPr>
        <w:tc>
          <w:tcPr>
            <w:tcW w:type="dxa" w:w="17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Castelli II</w:t>
            </w:r>
          </w:p>
        </w:tc>
        <w:tc>
          <w:tcPr>
            <w:tcW w:type="dxa" w:w="288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Men &lt;3.0; women &lt;2.5</w:t>
            </w:r>
          </w:p>
        </w:tc>
        <w:tc>
          <w:tcPr>
            <w:tcW w:type="dxa" w:w="252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At or above desirable boundary</w:t>
            </w:r>
          </w:p>
        </w:tc>
        <w:tc>
          <w:tcPr>
            <w:tcW w:type="dxa" w:w="280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Invalid if LDL-C is unreliable</w:t>
            </w:r>
          </w:p>
        </w:tc>
      </w:tr>
      <w:tr>
        <w:trPr>
          <w:cantSplit/>
        </w:trPr>
        <w:tc>
          <w:tcPr>
            <w:tcW w:type="dxa" w:w="1728"/>
            <w:vAlign w:val="center"/>
            <w:tcMar>
              <w:top w:w="70" w:type="dxa"/>
              <w:start w:w="90" w:type="dxa"/>
              <w:bottom w:w="70" w:type="dxa"/>
              <w:end w:w="90" w:type="dxa"/>
            </w:tcMar>
          </w:tcPr>
          <w:p>
            <w:pPr>
              <w:widowControl/>
              <w:spacing w:after="0" w:line="247" w:lineRule="auto"/>
            </w:pPr>
            <w:r/>
            <w:r>
              <w:rPr>
                <w:rFonts w:ascii="Aptos" w:hAnsi="Aptos"/>
                <w:b w:val="0"/>
                <w:color w:val="202B33"/>
                <w:sz w:val="15"/>
              </w:rPr>
              <w:t>Atherogenic coefficient</w:t>
            </w:r>
          </w:p>
        </w:tc>
        <w:tc>
          <w:tcPr>
            <w:tcW w:type="dxa" w:w="2880"/>
            <w:vAlign w:val="center"/>
            <w:tcMar>
              <w:top w:w="70" w:type="dxa"/>
              <w:start w:w="90" w:type="dxa"/>
              <w:bottom w:w="70" w:type="dxa"/>
              <w:end w:w="90" w:type="dxa"/>
            </w:tcMar>
          </w:tcPr>
          <w:p>
            <w:pPr>
              <w:widowControl/>
              <w:spacing w:after="0" w:line="247" w:lineRule="auto"/>
            </w:pPr>
            <w:r/>
            <w:r>
              <w:rPr>
                <w:rFonts w:ascii="Aptos" w:hAnsi="Aptos"/>
                <w:b w:val="0"/>
                <w:color w:val="202B33"/>
                <w:sz w:val="15"/>
              </w:rPr>
              <w:t>(TC - HDL-C) / HDL-C</w:t>
            </w:r>
          </w:p>
        </w:tc>
        <w:tc>
          <w:tcPr>
            <w:tcW w:type="dxa" w:w="2520"/>
            <w:vAlign w:val="center"/>
            <w:tcMar>
              <w:top w:w="70" w:type="dxa"/>
              <w:start w:w="90" w:type="dxa"/>
              <w:bottom w:w="70" w:type="dxa"/>
              <w:end w:w="90" w:type="dxa"/>
            </w:tcMar>
          </w:tcPr>
          <w:p>
            <w:pPr>
              <w:widowControl/>
              <w:spacing w:after="0" w:line="247" w:lineRule="auto"/>
            </w:pPr>
            <w:r/>
            <w:r>
              <w:rPr>
                <w:rFonts w:ascii="Aptos" w:hAnsi="Aptos"/>
                <w:b w:val="0"/>
                <w:color w:val="202B33"/>
                <w:sz w:val="15"/>
              </w:rPr>
              <w:t>Higher is less favourable</w:t>
            </w:r>
          </w:p>
        </w:tc>
        <w:tc>
          <w:tcPr>
            <w:tcW w:type="dxa" w:w="2808"/>
            <w:vAlign w:val="center"/>
            <w:tcMar>
              <w:top w:w="70" w:type="dxa"/>
              <w:start w:w="90" w:type="dxa"/>
              <w:bottom w:w="70" w:type="dxa"/>
              <w:end w:w="90" w:type="dxa"/>
            </w:tcMar>
          </w:tcPr>
          <w:p>
            <w:pPr>
              <w:widowControl/>
              <w:spacing w:after="0" w:line="247" w:lineRule="auto"/>
            </w:pPr>
            <w:r/>
            <w:r>
              <w:rPr>
                <w:rFonts w:ascii="Aptos" w:hAnsi="Aptos"/>
                <w:b w:val="0"/>
                <w:color w:val="202B33"/>
                <w:sz w:val="15"/>
              </w:rPr>
              <w:t>Mathematically equals Castelli I - 1</w:t>
            </w:r>
          </w:p>
        </w:tc>
      </w:tr>
    </w:tbl>
    <w:p>
      <w:pPr>
        <w:spacing w:after="20"/>
      </w:pPr>
    </w:p>
    <w:p>
      <w:pPr>
        <w:pStyle w:val="TableSource"/>
      </w:pPr>
      <w:r>
        <w:t>AIP and Castelli outputs are secondary explanatory indices. Clinical guidelines prioritise LDL-C, non-HDL-C, ApoB and total cardiovascular risk.</w:t>
      </w:r>
    </w:p>
    <w:p>
      <w:pPr>
        <w:pStyle w:val="Heading1"/>
      </w:pPr>
      <w:r>
        <w:t>5. Apolipoproteins and inherited lipid risk</w:t>
      </w:r>
    </w:p>
    <w:p>
      <w:r>
        <w:t>ApoB and Lp(a) should be promoted above ratio-only indices because they add clinically meaningful particle and inherited-risk information.</w:t>
      </w:r>
    </w:p>
    <w:p>
      <w:pPr>
        <w:pStyle w:val="Heading2"/>
      </w:pPr>
      <w:r>
        <w:t>5.1 Apolipoprotein B</w:t>
      </w:r>
    </w:p>
    <w:p>
      <w:r>
        <w:t>Each major atherogenic particle carries one ApoB molecule. ApoB therefore approximates the number of LDL, IDL, VLDL-remnant and Lp(a) particles rather than the cholesterol mass inside them.</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2520"/>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Risk category</w:t>
            </w:r>
          </w:p>
        </w:tc>
        <w:tc>
          <w:tcPr>
            <w:tcW w:type="dxa" w:w="2304"/>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Suggested ApoB goal</w:t>
            </w:r>
          </w:p>
        </w:tc>
        <w:tc>
          <w:tcPr>
            <w:tcW w:type="dxa" w:w="5112"/>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How SQUARE should present it</w:t>
            </w:r>
          </w:p>
        </w:tc>
      </w:tr>
      <w:tr>
        <w:trPr>
          <w:cantSplit/>
        </w:trPr>
        <w:tc>
          <w:tcPr>
            <w:tcW w:type="dxa" w:w="2520"/>
            <w:vAlign w:val="center"/>
            <w:tcMar>
              <w:top w:w="70" w:type="dxa"/>
              <w:start w:w="90" w:type="dxa"/>
              <w:bottom w:w="70" w:type="dxa"/>
              <w:end w:w="90" w:type="dxa"/>
            </w:tcMar>
          </w:tcPr>
          <w:p>
            <w:pPr>
              <w:widowControl/>
              <w:spacing w:after="0" w:line="247" w:lineRule="auto"/>
            </w:pPr>
            <w:r/>
            <w:r>
              <w:rPr>
                <w:rFonts w:ascii="Aptos" w:hAnsi="Aptos"/>
                <w:b w:val="0"/>
                <w:color w:val="202B33"/>
                <w:sz w:val="16"/>
              </w:rPr>
              <w:t>Moderate risk</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6"/>
              </w:rPr>
              <w:t>&lt;100 mg/dL</w:t>
            </w:r>
          </w:p>
        </w:tc>
        <w:tc>
          <w:tcPr>
            <w:tcW w:type="dxa" w:w="5112"/>
            <w:vAlign w:val="center"/>
            <w:tcMar>
              <w:top w:w="70" w:type="dxa"/>
              <w:start w:w="90" w:type="dxa"/>
              <w:bottom w:w="70" w:type="dxa"/>
              <w:end w:w="90" w:type="dxa"/>
            </w:tcMar>
          </w:tcPr>
          <w:p>
            <w:pPr>
              <w:widowControl/>
              <w:spacing w:after="0" w:line="247" w:lineRule="auto"/>
            </w:pPr>
            <w:r/>
            <w:r>
              <w:rPr>
                <w:rFonts w:ascii="Aptos" w:hAnsi="Aptos"/>
                <w:b w:val="0"/>
                <w:color w:val="202B33"/>
                <w:sz w:val="16"/>
              </w:rPr>
              <w:t>Secondary target linked to risk category</w:t>
            </w:r>
          </w:p>
        </w:tc>
      </w:tr>
      <w:tr>
        <w:trPr>
          <w:cantSplit/>
        </w:trPr>
        <w:tc>
          <w:tcPr>
            <w:tcW w:type="dxa" w:w="252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High risk</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&lt;80 mg/dL</w:t>
            </w:r>
          </w:p>
        </w:tc>
        <w:tc>
          <w:tcPr>
            <w:tcW w:type="dxa" w:w="511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Above/below risk-linked goal</w:t>
            </w:r>
          </w:p>
        </w:tc>
      </w:tr>
      <w:tr>
        <w:trPr>
          <w:cantSplit/>
        </w:trPr>
        <w:tc>
          <w:tcPr>
            <w:tcW w:type="dxa" w:w="2520"/>
            <w:vAlign w:val="center"/>
            <w:tcMar>
              <w:top w:w="70" w:type="dxa"/>
              <w:start w:w="90" w:type="dxa"/>
              <w:bottom w:w="70" w:type="dxa"/>
              <w:end w:w="90" w:type="dxa"/>
            </w:tcMar>
          </w:tcPr>
          <w:p>
            <w:pPr>
              <w:widowControl/>
              <w:spacing w:after="0" w:line="247" w:lineRule="auto"/>
            </w:pPr>
            <w:r/>
            <w:r>
              <w:rPr>
                <w:rFonts w:ascii="Aptos" w:hAnsi="Aptos"/>
                <w:b w:val="0"/>
                <w:color w:val="202B33"/>
                <w:sz w:val="16"/>
              </w:rPr>
              <w:t>Very-high risk</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6"/>
              </w:rPr>
              <w:t>&lt;65 mg/dL</w:t>
            </w:r>
          </w:p>
        </w:tc>
        <w:tc>
          <w:tcPr>
            <w:tcW w:type="dxa" w:w="5112"/>
            <w:vAlign w:val="center"/>
            <w:tcMar>
              <w:top w:w="70" w:type="dxa"/>
              <w:start w:w="90" w:type="dxa"/>
              <w:bottom w:w="70" w:type="dxa"/>
              <w:end w:w="90" w:type="dxa"/>
            </w:tcMar>
          </w:tcPr>
          <w:p>
            <w:pPr>
              <w:widowControl/>
              <w:spacing w:after="0" w:line="247" w:lineRule="auto"/>
            </w:pPr>
            <w:r/>
            <w:r>
              <w:rPr>
                <w:rFonts w:ascii="Aptos" w:hAnsi="Aptos"/>
                <w:b w:val="0"/>
                <w:color w:val="202B33"/>
                <w:sz w:val="16"/>
              </w:rPr>
              <w:t>Above/below risk-linked goal</w:t>
            </w:r>
          </w:p>
        </w:tc>
      </w:tr>
      <w:tr>
        <w:trPr>
          <w:cantSplit/>
        </w:trPr>
        <w:tc>
          <w:tcPr>
            <w:tcW w:type="dxa" w:w="252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Selected recurrent/extreme risk</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&lt;55 mg/dL may be considered</w:t>
            </w:r>
          </w:p>
        </w:tc>
        <w:tc>
          <w:tcPr>
            <w:tcW w:type="dxa" w:w="511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Clinician-directed target only</w:t>
            </w:r>
          </w:p>
        </w:tc>
      </w:tr>
    </w:tbl>
    <w:p>
      <w:pPr>
        <w:spacing w:after="20"/>
      </w:pPr>
    </w:p>
    <w:p>
      <w:pPr>
        <w:pStyle w:val="TableSource"/>
      </w:pPr>
      <w:r>
        <w:t>Risk-linked ApoB goals align with ESC/EAS secondary-target conventions; local clinical governance must approve the adopted target set.</w:t>
      </w:r>
    </w:p>
    <w:p>
      <w:pPr>
        <w:pStyle w:val="Heading3"/>
      </w:pPr>
      <w:r>
        <w:t>Recommended triggers for ApoB</w:t>
      </w:r>
    </w:p>
    <w:p>
      <w:pPr>
        <w:pStyle w:val="ListBullet"/>
        <w:spacing w:after="40"/>
      </w:pPr>
      <w:r>
        <w:t>Elevated triglycerides, diabetes, metabolic syndrome or obesity.</w:t>
      </w:r>
    </w:p>
    <w:p>
      <w:pPr>
        <w:pStyle w:val="ListBullet"/>
        <w:spacing w:after="40"/>
      </w:pPr>
      <w:r>
        <w:t>LDL-C appears acceptable but residual risk is suspected.</w:t>
      </w:r>
    </w:p>
    <w:p>
      <w:pPr>
        <w:pStyle w:val="ListBullet"/>
        <w:spacing w:after="40"/>
      </w:pPr>
      <w:r>
        <w:t>Discordance between LDL-C, non-HDL-C and clinical phenotype.</w:t>
      </w:r>
    </w:p>
    <w:p>
      <w:pPr>
        <w:pStyle w:val="ListBullet"/>
        <w:spacing w:after="40"/>
      </w:pPr>
      <w:r>
        <w:t>Monitoring intensive lipid-lowering therapy when particle burden matters.</w:t>
      </w:r>
    </w:p>
    <w:p>
      <w:pPr>
        <w:pStyle w:val="Heading2"/>
      </w:pPr>
      <w:r>
        <w:t>5.2 ApoA-I and ApoB/ApoA-I</w:t>
      </w:r>
    </w:p>
    <w:p>
      <w:pPr>
        <w:spacing w:before="40" w:after="100"/>
        <w:jc w:val="center"/>
      </w:pPr>
      <w:r>
        <w:rPr>
          <w:rFonts w:ascii="Cambria Math" w:hAnsi="Cambria Math"/>
          <w:b/>
          <w:color w:val="17324D"/>
          <w:sz w:val="21"/>
        </w:rPr>
        <w:t>ApoB/ApoA-I ratio = ApoB / ApoA-I   (same units)</w:t>
      </w:r>
    </w:p>
    <w:p>
      <w:pPr>
        <w:pStyle w:val="ListBullet"/>
        <w:spacing w:after="40"/>
      </w:pPr>
      <w:r>
        <w:t>ApoA-I is the principal structural protein of HDL.</w:t>
      </w:r>
    </w:p>
    <w:p>
      <w:pPr>
        <w:pStyle w:val="ListBullet"/>
        <w:spacing w:after="40"/>
      </w:pPr>
      <w:r>
        <w:t>Use the performing laboratory reference interval for ApoA-I.</w:t>
      </w:r>
    </w:p>
    <w:p>
      <w:pPr>
        <w:pStyle w:val="ListBullet"/>
        <w:spacing w:after="40"/>
      </w:pPr>
      <w:r>
        <w:t>A lower ApoB/ApoA-I ratio indicates a more favourable particle balance; a higher ratio indicates a more atherogenic balance.</w:t>
      </w:r>
    </w:p>
    <w:p>
      <w:pPr>
        <w:pStyle w:val="ListBullet"/>
        <w:spacing w:after="40"/>
      </w:pPr>
      <w:r>
        <w:t>There is no single universally accepted treatment cut-off. Display the numerical ratio and laboratory interpretation, if provided.</w:t>
      </w:r>
    </w:p>
    <w:p>
      <w:pPr>
        <w:pStyle w:val="Heading2"/>
      </w:pPr>
      <w:r>
        <w:t>5.3 Lipoprotein(a)</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3168"/>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Lp(a)</w:t>
            </w:r>
          </w:p>
        </w:tc>
        <w:tc>
          <w:tcPr>
            <w:tcW w:type="dxa" w:w="6768"/>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Interpretation</w:t>
            </w:r>
          </w:p>
        </w:tc>
      </w:tr>
      <w:tr>
        <w:trPr>
          <w:cantSplit/>
        </w:trPr>
        <w:tc>
          <w:tcPr>
            <w:tcW w:type="dxa" w:w="3168"/>
            <w:vAlign w:val="center"/>
            <w:tcMar>
              <w:top w:w="70" w:type="dxa"/>
              <w:start w:w="90" w:type="dxa"/>
              <w:bottom w:w="70" w:type="dxa"/>
              <w:end w:w="90" w:type="dxa"/>
            </w:tcMar>
          </w:tcPr>
          <w:p>
            <w:pPr>
              <w:widowControl/>
              <w:spacing w:after="0" w:line="247" w:lineRule="auto"/>
            </w:pPr>
            <w:r/>
            <w:r>
              <w:rPr>
                <w:rFonts w:ascii="Aptos" w:hAnsi="Aptos"/>
                <w:b w:val="0"/>
                <w:color w:val="202B33"/>
                <w:sz w:val="16"/>
              </w:rPr>
              <w:t>&lt;75 nmol/L</w:t>
            </w:r>
          </w:p>
        </w:tc>
        <w:tc>
          <w:tcPr>
            <w:tcW w:type="dxa" w:w="6768"/>
            <w:vAlign w:val="center"/>
            <w:tcMar>
              <w:top w:w="70" w:type="dxa"/>
              <w:start w:w="90" w:type="dxa"/>
              <w:bottom w:w="70" w:type="dxa"/>
              <w:end w:w="90" w:type="dxa"/>
            </w:tcMar>
          </w:tcPr>
          <w:p>
            <w:pPr>
              <w:widowControl/>
              <w:spacing w:after="0" w:line="247" w:lineRule="auto"/>
            </w:pPr>
            <w:r/>
            <w:r>
              <w:rPr>
                <w:rFonts w:ascii="Aptos" w:hAnsi="Aptos"/>
                <w:b w:val="0"/>
                <w:color w:val="202B33"/>
                <w:sz w:val="16"/>
              </w:rPr>
              <w:t>Generally lower</w:t>
            </w:r>
          </w:p>
        </w:tc>
      </w:tr>
      <w:tr>
        <w:trPr>
          <w:cantSplit/>
        </w:trPr>
        <w:tc>
          <w:tcPr>
            <w:tcW w:type="dxa" w:w="31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75-124 nmol/L</w:t>
            </w:r>
          </w:p>
        </w:tc>
        <w:tc>
          <w:tcPr>
            <w:tcW w:type="dxa" w:w="67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Intermediate</w:t>
            </w:r>
          </w:p>
        </w:tc>
      </w:tr>
      <w:tr>
        <w:trPr>
          <w:cantSplit/>
        </w:trPr>
        <w:tc>
          <w:tcPr>
            <w:tcW w:type="dxa" w:w="3168"/>
            <w:vAlign w:val="center"/>
            <w:tcMar>
              <w:top w:w="70" w:type="dxa"/>
              <w:start w:w="90" w:type="dxa"/>
              <w:bottom w:w="70" w:type="dxa"/>
              <w:end w:w="90" w:type="dxa"/>
            </w:tcMar>
          </w:tcPr>
          <w:p>
            <w:pPr>
              <w:widowControl/>
              <w:spacing w:after="0" w:line="247" w:lineRule="auto"/>
            </w:pPr>
            <w:r/>
            <w:r>
              <w:rPr>
                <w:rFonts w:ascii="Aptos" w:hAnsi="Aptos"/>
                <w:b w:val="0"/>
                <w:color w:val="202B33"/>
                <w:sz w:val="16"/>
              </w:rPr>
              <w:t>&gt;=125 nmol/L</w:t>
            </w:r>
          </w:p>
        </w:tc>
        <w:tc>
          <w:tcPr>
            <w:tcW w:type="dxa" w:w="6768"/>
            <w:vAlign w:val="center"/>
            <w:tcMar>
              <w:top w:w="70" w:type="dxa"/>
              <w:start w:w="90" w:type="dxa"/>
              <w:bottom w:w="70" w:type="dxa"/>
              <w:end w:w="90" w:type="dxa"/>
            </w:tcMar>
          </w:tcPr>
          <w:p>
            <w:pPr>
              <w:widowControl/>
              <w:spacing w:after="0" w:line="247" w:lineRule="auto"/>
            </w:pPr>
            <w:r/>
            <w:r>
              <w:rPr>
                <w:rFonts w:ascii="Aptos" w:hAnsi="Aptos"/>
                <w:b w:val="0"/>
                <w:color w:val="202B33"/>
                <w:sz w:val="16"/>
              </w:rPr>
              <w:t>Elevated / risk-enhancing</w:t>
            </w:r>
          </w:p>
        </w:tc>
      </w:tr>
      <w:tr>
        <w:trPr>
          <w:cantSplit/>
        </w:trPr>
        <w:tc>
          <w:tcPr>
            <w:tcW w:type="dxa" w:w="31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&lt;30 mg/dL</w:t>
            </w:r>
          </w:p>
        </w:tc>
        <w:tc>
          <w:tcPr>
            <w:tcW w:type="dxa" w:w="67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Generally lower</w:t>
            </w:r>
          </w:p>
        </w:tc>
      </w:tr>
      <w:tr>
        <w:trPr>
          <w:cantSplit/>
        </w:trPr>
        <w:tc>
          <w:tcPr>
            <w:tcW w:type="dxa" w:w="3168"/>
            <w:vAlign w:val="center"/>
            <w:tcMar>
              <w:top w:w="70" w:type="dxa"/>
              <w:start w:w="90" w:type="dxa"/>
              <w:bottom w:w="70" w:type="dxa"/>
              <w:end w:w="90" w:type="dxa"/>
            </w:tcMar>
          </w:tcPr>
          <w:p>
            <w:pPr>
              <w:widowControl/>
              <w:spacing w:after="0" w:line="247" w:lineRule="auto"/>
            </w:pPr>
            <w:r/>
            <w:r>
              <w:rPr>
                <w:rFonts w:ascii="Aptos" w:hAnsi="Aptos"/>
                <w:b w:val="0"/>
                <w:color w:val="202B33"/>
                <w:sz w:val="16"/>
              </w:rPr>
              <w:t>30-49 mg/dL</w:t>
            </w:r>
          </w:p>
        </w:tc>
        <w:tc>
          <w:tcPr>
            <w:tcW w:type="dxa" w:w="6768"/>
            <w:vAlign w:val="center"/>
            <w:tcMar>
              <w:top w:w="70" w:type="dxa"/>
              <w:start w:w="90" w:type="dxa"/>
              <w:bottom w:w="70" w:type="dxa"/>
              <w:end w:w="90" w:type="dxa"/>
            </w:tcMar>
          </w:tcPr>
          <w:p>
            <w:pPr>
              <w:widowControl/>
              <w:spacing w:after="0" w:line="247" w:lineRule="auto"/>
            </w:pPr>
            <w:r/>
            <w:r>
              <w:rPr>
                <w:rFonts w:ascii="Aptos" w:hAnsi="Aptos"/>
                <w:b w:val="0"/>
                <w:color w:val="202B33"/>
                <w:sz w:val="16"/>
              </w:rPr>
              <w:t>Intermediate</w:t>
            </w:r>
          </w:p>
        </w:tc>
      </w:tr>
      <w:tr>
        <w:trPr>
          <w:cantSplit/>
        </w:trPr>
        <w:tc>
          <w:tcPr>
            <w:tcW w:type="dxa" w:w="31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&gt;=50 mg/dL</w:t>
            </w:r>
          </w:p>
        </w:tc>
        <w:tc>
          <w:tcPr>
            <w:tcW w:type="dxa" w:w="676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Elevated / risk-enhancing</w:t>
            </w:r>
          </w:p>
        </w:tc>
      </w:tr>
    </w:tbl>
    <w:p>
      <w:pPr>
        <w:spacing w:after="20"/>
      </w:pP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A33A3A"/>
                <w:sz w:val="18"/>
              </w:rPr>
              <w:t>LP(A) UNIT SAFEGUARD</w:t>
            </w:r>
          </w:p>
          <w:p>
            <w:pPr>
              <w:widowControl/>
              <w:spacing w:after="0" w:line="259" w:lineRule="auto"/>
            </w:pPr>
            <w:r>
              <w:rPr>
                <w:sz w:val="18"/>
              </w:rPr>
              <w:t>Never apply a fixed conversion between mg/dL and nmol/L. Retain the laboratory unit because particle size makes conversion variable. Lp(a) is largely inherited and is usually measured at least once in adulthood; elevated Lp(a) modifies risk but does not by itself diagnose cardiovascular disease.</w:t>
            </w:r>
          </w:p>
        </w:tc>
      </w:tr>
    </w:tbl>
    <w:p>
      <w:pPr>
        <w:spacing w:after="20"/>
      </w:pPr>
    </w:p>
    <w:p>
      <w:pPr>
        <w:pStyle w:val="Heading1"/>
      </w:pPr>
      <w:r>
        <w:t>6. Lipid interpretation hierarchy and discordance</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2592"/>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Pattern</w:t>
            </w:r>
          </w:p>
        </w:tc>
        <w:tc>
          <w:tcPr>
            <w:tcW w:type="dxa" w:w="3816"/>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Likely interpretation</w:t>
            </w:r>
          </w:p>
        </w:tc>
        <w:tc>
          <w:tcPr>
            <w:tcW w:type="dxa" w:w="3528"/>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Report action</w:t>
            </w:r>
          </w:p>
        </w:tc>
      </w:tr>
      <w:tr>
        <w:trPr>
          <w:cantSplit/>
        </w:trPr>
        <w:tc>
          <w:tcPr>
            <w:tcW w:type="dxa" w:w="2592"/>
            <w:vAlign w:val="center"/>
            <w:tcMar>
              <w:top w:w="70" w:type="dxa"/>
              <w:start w:w="90" w:type="dxa"/>
              <w:bottom w:w="70" w:type="dxa"/>
              <w:end w:w="90" w:type="dxa"/>
            </w:tcMar>
          </w:tcPr>
          <w:p>
            <w:pPr>
              <w:widowControl/>
              <w:spacing w:after="0" w:line="247" w:lineRule="auto"/>
            </w:pPr>
            <w:r/>
            <w:r>
              <w:rPr>
                <w:rFonts w:ascii="Aptos" w:hAnsi="Aptos"/>
                <w:b w:val="0"/>
                <w:color w:val="202B33"/>
                <w:sz w:val="15"/>
              </w:rPr>
              <w:t>LDL-C high; ApoB high</w:t>
            </w:r>
          </w:p>
        </w:tc>
        <w:tc>
          <w:tcPr>
            <w:tcW w:type="dxa" w:w="3816"/>
            <w:vAlign w:val="center"/>
            <w:tcMar>
              <w:top w:w="70" w:type="dxa"/>
              <w:start w:w="90" w:type="dxa"/>
              <w:bottom w:w="70" w:type="dxa"/>
              <w:end w:w="90" w:type="dxa"/>
            </w:tcMar>
          </w:tcPr>
          <w:p>
            <w:pPr>
              <w:widowControl/>
              <w:spacing w:after="0" w:line="247" w:lineRule="auto"/>
            </w:pPr>
            <w:r/>
            <w:r>
              <w:rPr>
                <w:rFonts w:ascii="Aptos" w:hAnsi="Aptos"/>
                <w:b w:val="0"/>
                <w:color w:val="202B33"/>
                <w:sz w:val="15"/>
              </w:rPr>
              <w:t>Concordant high atherogenic burden</w:t>
            </w:r>
          </w:p>
        </w:tc>
        <w:tc>
          <w:tcPr>
            <w:tcW w:type="dxa" w:w="3528"/>
            <w:vAlign w:val="center"/>
            <w:tcMar>
              <w:top w:w="70" w:type="dxa"/>
              <w:start w:w="90" w:type="dxa"/>
              <w:bottom w:w="70" w:type="dxa"/>
              <w:end w:w="90" w:type="dxa"/>
            </w:tcMar>
          </w:tcPr>
          <w:p>
            <w:pPr>
              <w:widowControl/>
              <w:spacing w:after="0" w:line="247" w:lineRule="auto"/>
            </w:pPr>
            <w:r/>
            <w:r>
              <w:rPr>
                <w:rFonts w:ascii="Aptos" w:hAnsi="Aptos"/>
                <w:b w:val="0"/>
                <w:color w:val="202B33"/>
                <w:sz w:val="15"/>
              </w:rPr>
              <w:t>Emphasise overall risk and clinician review</w:t>
            </w:r>
          </w:p>
        </w:tc>
      </w:tr>
      <w:tr>
        <w:trPr>
          <w:cantSplit/>
        </w:trPr>
        <w:tc>
          <w:tcPr>
            <w:tcW w:type="dxa" w:w="25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LDL-C acceptable; ApoB high</w:t>
            </w:r>
          </w:p>
        </w:tc>
        <w:tc>
          <w:tcPr>
            <w:tcW w:type="dxa" w:w="381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More atherogenic particles than LDL-C suggests</w:t>
            </w:r>
          </w:p>
        </w:tc>
        <w:tc>
          <w:tcPr>
            <w:tcW w:type="dxa" w:w="35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Flag particle discordance</w:t>
            </w:r>
          </w:p>
        </w:tc>
      </w:tr>
      <w:tr>
        <w:trPr>
          <w:cantSplit/>
        </w:trPr>
        <w:tc>
          <w:tcPr>
            <w:tcW w:type="dxa" w:w="2592"/>
            <w:vAlign w:val="center"/>
            <w:tcMar>
              <w:top w:w="70" w:type="dxa"/>
              <w:start w:w="90" w:type="dxa"/>
              <w:bottom w:w="70" w:type="dxa"/>
              <w:end w:w="90" w:type="dxa"/>
            </w:tcMar>
          </w:tcPr>
          <w:p>
            <w:pPr>
              <w:widowControl/>
              <w:spacing w:after="0" w:line="247" w:lineRule="auto"/>
            </w:pPr>
            <w:r/>
            <w:r>
              <w:rPr>
                <w:rFonts w:ascii="Aptos" w:hAnsi="Aptos"/>
                <w:b w:val="0"/>
                <w:color w:val="202B33"/>
                <w:sz w:val="15"/>
              </w:rPr>
              <w:t>LDL-C high; ApoB relatively lower</w:t>
            </w:r>
          </w:p>
        </w:tc>
        <w:tc>
          <w:tcPr>
            <w:tcW w:type="dxa" w:w="3816"/>
            <w:vAlign w:val="center"/>
            <w:tcMar>
              <w:top w:w="70" w:type="dxa"/>
              <w:start w:w="90" w:type="dxa"/>
              <w:bottom w:w="70" w:type="dxa"/>
              <w:end w:w="90" w:type="dxa"/>
            </w:tcMar>
          </w:tcPr>
          <w:p>
            <w:pPr>
              <w:widowControl/>
              <w:spacing w:after="0" w:line="247" w:lineRule="auto"/>
            </w:pPr>
            <w:r/>
            <w:r>
              <w:rPr>
                <w:rFonts w:ascii="Aptos" w:hAnsi="Aptos"/>
                <w:b w:val="0"/>
                <w:color w:val="202B33"/>
                <w:sz w:val="15"/>
              </w:rPr>
              <w:t>Fewer cholesterol-rich particles may be present</w:t>
            </w:r>
          </w:p>
        </w:tc>
        <w:tc>
          <w:tcPr>
            <w:tcW w:type="dxa" w:w="3528"/>
            <w:vAlign w:val="center"/>
            <w:tcMar>
              <w:top w:w="70" w:type="dxa"/>
              <w:start w:w="90" w:type="dxa"/>
              <w:bottom w:w="70" w:type="dxa"/>
              <w:end w:w="90" w:type="dxa"/>
            </w:tcMar>
          </w:tcPr>
          <w:p>
            <w:pPr>
              <w:widowControl/>
              <w:spacing w:after="0" w:line="247" w:lineRule="auto"/>
            </w:pPr>
            <w:r/>
            <w:r>
              <w:rPr>
                <w:rFonts w:ascii="Aptos" w:hAnsi="Aptos"/>
                <w:b w:val="0"/>
                <w:color w:val="202B33"/>
                <w:sz w:val="15"/>
              </w:rPr>
              <w:t>Do not dismiss LDL-C; show discordance</w:t>
            </w:r>
          </w:p>
        </w:tc>
      </w:tr>
      <w:tr>
        <w:trPr>
          <w:cantSplit/>
        </w:trPr>
        <w:tc>
          <w:tcPr>
            <w:tcW w:type="dxa" w:w="25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TG high; HDL-C low; AIP high</w:t>
            </w:r>
          </w:p>
        </w:tc>
        <w:tc>
          <w:tcPr>
            <w:tcW w:type="dxa" w:w="381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Atherogenic/metabolic pattern</w:t>
            </w:r>
          </w:p>
        </w:tc>
        <w:tc>
          <w:tcPr>
            <w:tcW w:type="dxa" w:w="35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Check glucose, waist, BP and metabolic syndrome</w:t>
            </w:r>
          </w:p>
        </w:tc>
      </w:tr>
      <w:tr>
        <w:trPr>
          <w:cantSplit/>
        </w:trPr>
        <w:tc>
          <w:tcPr>
            <w:tcW w:type="dxa" w:w="2592"/>
            <w:vAlign w:val="center"/>
            <w:tcMar>
              <w:top w:w="70" w:type="dxa"/>
              <w:start w:w="90" w:type="dxa"/>
              <w:bottom w:w="70" w:type="dxa"/>
              <w:end w:w="90" w:type="dxa"/>
            </w:tcMar>
          </w:tcPr>
          <w:p>
            <w:pPr>
              <w:widowControl/>
              <w:spacing w:after="0" w:line="247" w:lineRule="auto"/>
            </w:pPr>
            <w:r/>
            <w:r>
              <w:rPr>
                <w:rFonts w:ascii="Aptos" w:hAnsi="Aptos"/>
                <w:b w:val="0"/>
                <w:color w:val="202B33"/>
                <w:sz w:val="15"/>
              </w:rPr>
              <w:t>LDL-C controlled; Lp(a) high</w:t>
            </w:r>
          </w:p>
        </w:tc>
        <w:tc>
          <w:tcPr>
            <w:tcW w:type="dxa" w:w="3816"/>
            <w:vAlign w:val="center"/>
            <w:tcMar>
              <w:top w:w="70" w:type="dxa"/>
              <w:start w:w="90" w:type="dxa"/>
              <w:bottom w:w="70" w:type="dxa"/>
              <w:end w:w="90" w:type="dxa"/>
            </w:tcMar>
          </w:tcPr>
          <w:p>
            <w:pPr>
              <w:widowControl/>
              <w:spacing w:after="0" w:line="247" w:lineRule="auto"/>
            </w:pPr>
            <w:r/>
            <w:r>
              <w:rPr>
                <w:rFonts w:ascii="Aptos" w:hAnsi="Aptos"/>
                <w:b w:val="0"/>
                <w:color w:val="202B33"/>
                <w:sz w:val="15"/>
              </w:rPr>
              <w:t>Inherited residual-risk modifier</w:t>
            </w:r>
          </w:p>
        </w:tc>
        <w:tc>
          <w:tcPr>
            <w:tcW w:type="dxa" w:w="3528"/>
            <w:vAlign w:val="center"/>
            <w:tcMar>
              <w:top w:w="70" w:type="dxa"/>
              <w:start w:w="90" w:type="dxa"/>
              <w:bottom w:w="70" w:type="dxa"/>
              <w:end w:w="90" w:type="dxa"/>
            </w:tcMar>
          </w:tcPr>
          <w:p>
            <w:pPr>
              <w:widowControl/>
              <w:spacing w:after="0" w:line="247" w:lineRule="auto"/>
            </w:pPr>
            <w:r/>
            <w:r>
              <w:rPr>
                <w:rFonts w:ascii="Aptos" w:hAnsi="Aptos"/>
                <w:b w:val="0"/>
                <w:color w:val="202B33"/>
                <w:sz w:val="15"/>
              </w:rPr>
              <w:t>Do not call lipid profile fully reassuring</w:t>
            </w:r>
          </w:p>
        </w:tc>
      </w:tr>
      <w:tr>
        <w:trPr>
          <w:cantSplit/>
        </w:trPr>
        <w:tc>
          <w:tcPr>
            <w:tcW w:type="dxa" w:w="25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Ratios favourable; LDL-C/ApoB high</w:t>
            </w:r>
          </w:p>
        </w:tc>
        <w:tc>
          <w:tcPr>
            <w:tcW w:type="dxa" w:w="381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Ratios may obscure absolute burden</w:t>
            </w:r>
          </w:p>
        </w:tc>
        <w:tc>
          <w:tcPr>
            <w:tcW w:type="dxa" w:w="352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Prioritise absolute atherogenic measures</w:t>
            </w:r>
          </w:p>
        </w:tc>
      </w:tr>
    </w:tbl>
    <w:p>
      <w:pPr>
        <w:spacing w:after="20"/>
      </w:pPr>
    </w:p>
    <w:p>
      <w:pPr>
        <w:pStyle w:val="Heading2"/>
      </w:pPr>
      <w:r>
        <w:t>Recommended interpretation sequence</w:t>
      </w:r>
    </w:p>
    <w:p>
      <w:pPr>
        <w:pStyle w:val="ListNumber"/>
        <w:spacing w:after="40"/>
      </w:pPr>
      <w:r>
        <w:t>Check safety and established disease.</w:t>
      </w:r>
    </w:p>
    <w:p>
      <w:pPr>
        <w:pStyle w:val="ListNumber"/>
        <w:spacing w:after="40"/>
      </w:pPr>
      <w:r>
        <w:t>Validate sample, units, fasting status and calculation eligibility.</w:t>
      </w:r>
    </w:p>
    <w:p>
      <w:pPr>
        <w:pStyle w:val="ListNumber"/>
        <w:spacing w:after="40"/>
      </w:pPr>
      <w:r>
        <w:t>Classify LDL-C, triglycerides and HDL-C; calculate non-HDL-C.</w:t>
      </w:r>
    </w:p>
    <w:p>
      <w:pPr>
        <w:pStyle w:val="ListNumber"/>
        <w:spacing w:after="40"/>
      </w:pPr>
      <w:r>
        <w:t>Apply overall cardiovascular risk and risk-linked targets.</w:t>
      </w:r>
    </w:p>
    <w:p>
      <w:pPr>
        <w:pStyle w:val="ListNumber"/>
        <w:spacing w:after="40"/>
      </w:pPr>
      <w:r>
        <w:t>Interpret ApoB and check discordance.</w:t>
      </w:r>
    </w:p>
    <w:p>
      <w:pPr>
        <w:pStyle w:val="ListNumber"/>
        <w:spacing w:after="40"/>
      </w:pPr>
      <w:r>
        <w:t>Apply Lp(a) and family history as risk modifiers.</w:t>
      </w:r>
    </w:p>
    <w:p>
      <w:pPr>
        <w:pStyle w:val="ListNumber"/>
        <w:spacing w:after="40"/>
      </w:pPr>
      <w:r>
        <w:t>Display AIP and Castelli ratios as supplementary pattern indicators.</w:t>
      </w:r>
    </w:p>
    <w:p>
      <w:pPr>
        <w:pStyle w:val="ListNumber"/>
        <w:spacing w:after="40"/>
      </w:pPr>
      <w:r>
        <w:t>Generate action and follow-up language without diagnosing.</w:t>
      </w:r>
    </w:p>
    <w:p>
      <w:pPr>
        <w:pStyle w:val="Heading2"/>
      </w:pPr>
      <w:r>
        <w:t>Familial hypercholesterolaemia trigger</w:t>
      </w: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A33A3A"/>
                <w:sz w:val="18"/>
              </w:rPr>
              <w:t>POSSIBLE FH</w:t>
            </w:r>
          </w:p>
          <w:p>
            <w:pPr>
              <w:widowControl/>
              <w:spacing w:after="0" w:line="259" w:lineRule="auto"/>
            </w:pPr>
            <w:r>
              <w:rPr>
                <w:sz w:val="18"/>
              </w:rPr>
              <w:t>Markedly elevated LDL-C (commonly around &gt;=4.9 mmol/L in adults), premature ASCVD, tendon xanthomata or a strong family history should trigger a validated familial-hypercholesterolaemia pathway and clinician assessment. A single lipid value should not automatically diagnose FH.</w:t>
            </w:r>
          </w:p>
        </w:tc>
      </w:tr>
    </w:tbl>
    <w:p>
      <w:pPr>
        <w:spacing w:after="20"/>
      </w:pPr>
    </w:p>
    <w:p>
      <w:pPr>
        <w:pStyle w:val="Heading2"/>
      </w:pPr>
      <w:r>
        <w:t>Hypertriglyceridaemia safety</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376"/>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Triglycerides</w:t>
            </w:r>
          </w:p>
        </w:tc>
        <w:tc>
          <w:tcPr>
            <w:tcW w:type="dxa" w:w="7560"/>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Platform action</w:t>
            </w:r>
          </w:p>
        </w:tc>
      </w:tr>
      <w:tr>
        <w:trPr>
          <w:cantSplit/>
        </w:trPr>
        <w:tc>
          <w:tcPr>
            <w:tcW w:type="dxa" w:w="2376"/>
            <w:vAlign w:val="center"/>
            <w:tcMar>
              <w:top w:w="70" w:type="dxa"/>
              <w:start w:w="90" w:type="dxa"/>
              <w:bottom w:w="70" w:type="dxa"/>
              <w:end w:w="90" w:type="dxa"/>
            </w:tcMar>
          </w:tcPr>
          <w:p>
            <w:pPr>
              <w:widowControl/>
              <w:spacing w:after="0" w:line="247" w:lineRule="auto"/>
            </w:pPr>
            <w:r/>
            <w:r>
              <w:rPr>
                <w:rFonts w:ascii="Aptos" w:hAnsi="Aptos"/>
                <w:b w:val="0"/>
                <w:color w:val="202B33"/>
                <w:sz w:val="16"/>
              </w:rPr>
              <w:t>&lt;1.7 mmol/L</w:t>
            </w:r>
          </w:p>
        </w:tc>
        <w:tc>
          <w:tcPr>
            <w:tcW w:type="dxa" w:w="7560"/>
            <w:vAlign w:val="center"/>
            <w:tcMar>
              <w:top w:w="70" w:type="dxa"/>
              <w:start w:w="90" w:type="dxa"/>
              <w:bottom w:w="70" w:type="dxa"/>
              <w:end w:w="90" w:type="dxa"/>
            </w:tcMar>
          </w:tcPr>
          <w:p>
            <w:pPr>
              <w:widowControl/>
              <w:spacing w:after="0" w:line="247" w:lineRule="auto"/>
            </w:pPr>
            <w:r/>
            <w:r>
              <w:rPr>
                <w:rFonts w:ascii="Aptos" w:hAnsi="Aptos"/>
                <w:b w:val="0"/>
                <w:color w:val="202B33"/>
                <w:sz w:val="16"/>
              </w:rPr>
              <w:t>Within desirable range</w:t>
            </w:r>
          </w:p>
        </w:tc>
      </w:tr>
      <w:tr>
        <w:trPr>
          <w:cantSplit/>
        </w:trPr>
        <w:tc>
          <w:tcPr>
            <w:tcW w:type="dxa" w:w="237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1.7-4.4 mmol/L</w:t>
            </w:r>
          </w:p>
        </w:tc>
        <w:tc>
          <w:tcPr>
            <w:tcW w:type="dxa" w:w="756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Raised; assess metabolic and secondary causes</w:t>
            </w:r>
          </w:p>
        </w:tc>
      </w:tr>
      <w:tr>
        <w:trPr>
          <w:cantSplit/>
        </w:trPr>
        <w:tc>
          <w:tcPr>
            <w:tcW w:type="dxa" w:w="2376"/>
            <w:vAlign w:val="center"/>
            <w:tcMar>
              <w:top w:w="70" w:type="dxa"/>
              <w:start w:w="90" w:type="dxa"/>
              <w:bottom w:w="70" w:type="dxa"/>
              <w:end w:w="90" w:type="dxa"/>
            </w:tcMar>
          </w:tcPr>
          <w:p>
            <w:pPr>
              <w:widowControl/>
              <w:spacing w:after="0" w:line="247" w:lineRule="auto"/>
            </w:pPr>
            <w:r/>
            <w:r>
              <w:rPr>
                <w:rFonts w:ascii="Aptos" w:hAnsi="Aptos"/>
                <w:b w:val="0"/>
                <w:color w:val="202B33"/>
                <w:sz w:val="16"/>
              </w:rPr>
              <w:t>&gt;=4.5 mmol/L</w:t>
            </w:r>
          </w:p>
        </w:tc>
        <w:tc>
          <w:tcPr>
            <w:tcW w:type="dxa" w:w="7560"/>
            <w:vAlign w:val="center"/>
            <w:tcMar>
              <w:top w:w="70" w:type="dxa"/>
              <w:start w:w="90" w:type="dxa"/>
              <w:bottom w:w="70" w:type="dxa"/>
              <w:end w:w="90" w:type="dxa"/>
            </w:tcMar>
          </w:tcPr>
          <w:p>
            <w:pPr>
              <w:widowControl/>
              <w:spacing w:after="0" w:line="247" w:lineRule="auto"/>
            </w:pPr>
            <w:r/>
            <w:r>
              <w:rPr>
                <w:rFonts w:ascii="Aptos" w:hAnsi="Aptos"/>
                <w:b w:val="0"/>
                <w:color w:val="202B33"/>
                <w:sz w:val="16"/>
              </w:rPr>
              <w:t>Do not use Friedewald LDL-C; prompt clinical review</w:t>
            </w:r>
          </w:p>
        </w:tc>
      </w:tr>
      <w:tr>
        <w:trPr>
          <w:cantSplit/>
        </w:trPr>
        <w:tc>
          <w:tcPr>
            <w:tcW w:type="dxa" w:w="237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&gt;=10 mmol/L</w:t>
            </w:r>
          </w:p>
        </w:tc>
        <w:tc>
          <w:tcPr>
            <w:tcW w:type="dxa" w:w="756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Severe; urgent clinical assessment because pancreatitis risk rises substantially</w:t>
            </w:r>
          </w:p>
        </w:tc>
      </w:tr>
    </w:tbl>
    <w:p>
      <w:pPr>
        <w:spacing w:after="20"/>
      </w:pPr>
    </w:p>
    <w:p>
      <w:pPr>
        <w:pStyle w:val="Heading1"/>
      </w:pPr>
      <w:r>
        <w:t>7. Metabolic and kidney risk integration</w:t>
      </w:r>
    </w:p>
    <w:p>
      <w:r>
        <w:t>Cardiovascular interpretation should reuse validated outputs from other domains rather than recalculate them inconsistently.</w:t>
      </w:r>
    </w:p>
    <w:p>
      <w:pPr>
        <w:pStyle w:val="Heading2"/>
      </w:pPr>
      <w:r>
        <w:t>7.1 Metabolic syndrome</w:t>
      </w:r>
    </w:p>
    <w:p>
      <w:r>
        <w:t>Criteria are met when any three of the following five components are present: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Component</w:t>
            </w:r>
          </w:p>
        </w:tc>
        <w:tc>
          <w:tcPr>
            <w:tcW w:type="dxa" w:w="7056"/>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Positive criterion</w:t>
            </w:r>
          </w:p>
        </w:tc>
      </w:tr>
      <w:tr>
        <w:trPr>
          <w:cantSplit/>
        </w:trPr>
        <w:tc>
          <w:tcPr>
            <w:tcW w:type="dxa" w:w="2880"/>
            <w:vAlign w:val="center"/>
            <w:tcMar>
              <w:top w:w="70" w:type="dxa"/>
              <w:start w:w="90" w:type="dxa"/>
              <w:bottom w:w="70" w:type="dxa"/>
              <w:end w:w="90" w:type="dxa"/>
            </w:tcMar>
          </w:tcPr>
          <w:p>
            <w:pPr>
              <w:widowControl/>
              <w:spacing w:after="0" w:line="247" w:lineRule="auto"/>
            </w:pPr>
            <w:r/>
            <w:r>
              <w:rPr>
                <w:rFonts w:ascii="Aptos" w:hAnsi="Aptos"/>
                <w:b w:val="0"/>
                <w:color w:val="202B33"/>
                <w:sz w:val="16"/>
              </w:rPr>
              <w:t>Central obesity</w:t>
            </w:r>
          </w:p>
        </w:tc>
        <w:tc>
          <w:tcPr>
            <w:tcW w:type="dxa" w:w="7056"/>
            <w:vAlign w:val="center"/>
            <w:tcMar>
              <w:top w:w="70" w:type="dxa"/>
              <w:start w:w="90" w:type="dxa"/>
              <w:bottom w:w="70" w:type="dxa"/>
              <w:end w:w="90" w:type="dxa"/>
            </w:tcMar>
          </w:tcPr>
          <w:p>
            <w:pPr>
              <w:widowControl/>
              <w:spacing w:after="0" w:line="247" w:lineRule="auto"/>
            </w:pPr>
            <w:r/>
            <w:r>
              <w:rPr>
                <w:rFonts w:ascii="Aptos" w:hAnsi="Aptos"/>
                <w:b w:val="0"/>
                <w:color w:val="202B33"/>
                <w:sz w:val="16"/>
              </w:rPr>
              <w:t>Asian men waist &gt;=90 cm; Asian women &gt;=80 cm</w:t>
            </w:r>
          </w:p>
        </w:tc>
      </w:tr>
      <w:tr>
        <w:trPr>
          <w:cantSplit/>
        </w:trPr>
        <w:tc>
          <w:tcPr>
            <w:tcW w:type="dxa" w:w="288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Triglycerides</w:t>
            </w:r>
          </w:p>
        </w:tc>
        <w:tc>
          <w:tcPr>
            <w:tcW w:type="dxa" w:w="705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&gt;=1.7 mmol/L or treatment</w:t>
            </w:r>
          </w:p>
        </w:tc>
      </w:tr>
      <w:tr>
        <w:trPr>
          <w:cantSplit/>
        </w:trPr>
        <w:tc>
          <w:tcPr>
            <w:tcW w:type="dxa" w:w="2880"/>
            <w:vAlign w:val="center"/>
            <w:tcMar>
              <w:top w:w="70" w:type="dxa"/>
              <w:start w:w="90" w:type="dxa"/>
              <w:bottom w:w="70" w:type="dxa"/>
              <w:end w:w="90" w:type="dxa"/>
            </w:tcMar>
          </w:tcPr>
          <w:p>
            <w:pPr>
              <w:widowControl/>
              <w:spacing w:after="0" w:line="247" w:lineRule="auto"/>
            </w:pPr>
            <w:r/>
            <w:r>
              <w:rPr>
                <w:rFonts w:ascii="Aptos" w:hAnsi="Aptos"/>
                <w:b w:val="0"/>
                <w:color w:val="202B33"/>
                <w:sz w:val="16"/>
              </w:rPr>
              <w:t>HDL-C</w:t>
            </w:r>
          </w:p>
        </w:tc>
        <w:tc>
          <w:tcPr>
            <w:tcW w:type="dxa" w:w="7056"/>
            <w:vAlign w:val="center"/>
            <w:tcMar>
              <w:top w:w="70" w:type="dxa"/>
              <w:start w:w="90" w:type="dxa"/>
              <w:bottom w:w="70" w:type="dxa"/>
              <w:end w:w="90" w:type="dxa"/>
            </w:tcMar>
          </w:tcPr>
          <w:p>
            <w:pPr>
              <w:widowControl/>
              <w:spacing w:after="0" w:line="247" w:lineRule="auto"/>
            </w:pPr>
            <w:r/>
            <w:r>
              <w:rPr>
                <w:rFonts w:ascii="Aptos" w:hAnsi="Aptos"/>
                <w:b w:val="0"/>
                <w:color w:val="202B33"/>
                <w:sz w:val="16"/>
              </w:rPr>
              <w:t>&lt;1.0 mmol/L in men; &lt;1.3 mmol/L in women; or treatment</w:t>
            </w:r>
          </w:p>
        </w:tc>
      </w:tr>
      <w:tr>
        <w:trPr>
          <w:cantSplit/>
        </w:trPr>
        <w:tc>
          <w:tcPr>
            <w:tcW w:type="dxa" w:w="288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Blood pressure</w:t>
            </w:r>
          </w:p>
        </w:tc>
        <w:tc>
          <w:tcPr>
            <w:tcW w:type="dxa" w:w="705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&gt;=130/85 mmHg or antihypertensive treatment</w:t>
            </w:r>
          </w:p>
        </w:tc>
      </w:tr>
      <w:tr>
        <w:trPr>
          <w:cantSplit/>
        </w:trPr>
        <w:tc>
          <w:tcPr>
            <w:tcW w:type="dxa" w:w="2880"/>
            <w:vAlign w:val="center"/>
            <w:tcMar>
              <w:top w:w="70" w:type="dxa"/>
              <w:start w:w="90" w:type="dxa"/>
              <w:bottom w:w="70" w:type="dxa"/>
              <w:end w:w="90" w:type="dxa"/>
            </w:tcMar>
          </w:tcPr>
          <w:p>
            <w:pPr>
              <w:widowControl/>
              <w:spacing w:after="0" w:line="247" w:lineRule="auto"/>
            </w:pPr>
            <w:r/>
            <w:r>
              <w:rPr>
                <w:rFonts w:ascii="Aptos" w:hAnsi="Aptos"/>
                <w:b w:val="0"/>
                <w:color w:val="202B33"/>
                <w:sz w:val="16"/>
              </w:rPr>
              <w:t>Fasting glucose</w:t>
            </w:r>
          </w:p>
        </w:tc>
        <w:tc>
          <w:tcPr>
            <w:tcW w:type="dxa" w:w="7056"/>
            <w:vAlign w:val="center"/>
            <w:tcMar>
              <w:top w:w="70" w:type="dxa"/>
              <w:start w:w="90" w:type="dxa"/>
              <w:bottom w:w="70" w:type="dxa"/>
              <w:end w:w="90" w:type="dxa"/>
            </w:tcMar>
          </w:tcPr>
          <w:p>
            <w:pPr>
              <w:widowControl/>
              <w:spacing w:after="0" w:line="247" w:lineRule="auto"/>
            </w:pPr>
            <w:r/>
            <w:r>
              <w:rPr>
                <w:rFonts w:ascii="Aptos" w:hAnsi="Aptos"/>
                <w:b w:val="0"/>
                <w:color w:val="202B33"/>
                <w:sz w:val="16"/>
              </w:rPr>
              <w:t>&gt;=5.6 mmol/L or known diabetes/treatment</w:t>
            </w:r>
          </w:p>
        </w:tc>
      </w:tr>
    </w:tbl>
    <w:p>
      <w:pPr>
        <w:spacing w:after="20"/>
      </w:pPr>
    </w:p>
    <w:p>
      <w:r>
        <w:t>If any component is missing, display the number met and “cannot fully determine” when the missing value could change the result.</w:t>
      </w:r>
    </w:p>
    <w:p>
      <w:pPr>
        <w:pStyle w:val="Heading2"/>
      </w:pPr>
      <w:r>
        <w:t>7.2 Kidney risk</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3096"/>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Renal marker</w:t>
            </w:r>
          </w:p>
        </w:tc>
        <w:tc>
          <w:tcPr>
            <w:tcW w:type="dxa" w:w="6840"/>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Cardiovascular relevance</w:t>
            </w:r>
          </w:p>
        </w:tc>
      </w:tr>
      <w:tr>
        <w:trPr>
          <w:cantSplit/>
        </w:trPr>
        <w:tc>
          <w:tcPr>
            <w:tcW w:type="dxa" w:w="3096"/>
            <w:vAlign w:val="center"/>
            <w:tcMar>
              <w:top w:w="70" w:type="dxa"/>
              <w:start w:w="90" w:type="dxa"/>
              <w:bottom w:w="70" w:type="dxa"/>
              <w:end w:w="90" w:type="dxa"/>
            </w:tcMar>
          </w:tcPr>
          <w:p>
            <w:pPr>
              <w:widowControl/>
              <w:spacing w:after="0" w:line="247" w:lineRule="auto"/>
            </w:pPr>
            <w:r/>
            <w:r>
              <w:rPr>
                <w:rFonts w:ascii="Aptos" w:hAnsi="Aptos"/>
                <w:b w:val="0"/>
                <w:color w:val="202B33"/>
                <w:sz w:val="16"/>
              </w:rPr>
              <w:t>eGFR &lt;60 mL/min/1.73 m2</w:t>
            </w:r>
          </w:p>
        </w:tc>
        <w:tc>
          <w:tcPr>
            <w:tcW w:type="dxa" w:w="6840"/>
            <w:vAlign w:val="center"/>
            <w:tcMar>
              <w:top w:w="70" w:type="dxa"/>
              <w:start w:w="90" w:type="dxa"/>
              <w:bottom w:w="70" w:type="dxa"/>
              <w:end w:w="90" w:type="dxa"/>
            </w:tcMar>
          </w:tcPr>
          <w:p>
            <w:pPr>
              <w:widowControl/>
              <w:spacing w:after="0" w:line="247" w:lineRule="auto"/>
            </w:pPr>
            <w:r/>
            <w:r>
              <w:rPr>
                <w:rFonts w:ascii="Aptos" w:hAnsi="Aptos"/>
                <w:b w:val="0"/>
                <w:color w:val="202B33"/>
                <w:sz w:val="16"/>
              </w:rPr>
              <w:t>Potential CKD risk enhancer if persistent for &gt;3 months</w:t>
            </w:r>
          </w:p>
        </w:tc>
      </w:tr>
      <w:tr>
        <w:trPr>
          <w:cantSplit/>
        </w:trPr>
        <w:tc>
          <w:tcPr>
            <w:tcW w:type="dxa" w:w="309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Albuminuria A2 or A3</w:t>
            </w:r>
          </w:p>
        </w:tc>
        <w:tc>
          <w:tcPr>
            <w:tcW w:type="dxa" w:w="68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Independent cardiovascular and kidney-risk marker</w:t>
            </w:r>
          </w:p>
        </w:tc>
      </w:tr>
      <w:tr>
        <w:trPr>
          <w:cantSplit/>
        </w:trPr>
        <w:tc>
          <w:tcPr>
            <w:tcW w:type="dxa" w:w="3096"/>
            <w:vAlign w:val="center"/>
            <w:tcMar>
              <w:top w:w="70" w:type="dxa"/>
              <w:start w:w="90" w:type="dxa"/>
              <w:bottom w:w="70" w:type="dxa"/>
              <w:end w:w="90" w:type="dxa"/>
            </w:tcMar>
          </w:tcPr>
          <w:p>
            <w:pPr>
              <w:widowControl/>
              <w:spacing w:after="0" w:line="247" w:lineRule="auto"/>
            </w:pPr>
            <w:r/>
            <w:r>
              <w:rPr>
                <w:rFonts w:ascii="Aptos" w:hAnsi="Aptos"/>
                <w:b w:val="0"/>
                <w:color w:val="202B33"/>
                <w:sz w:val="16"/>
              </w:rPr>
              <w:t>G4-G5 CKD</w:t>
            </w:r>
          </w:p>
        </w:tc>
        <w:tc>
          <w:tcPr>
            <w:tcW w:type="dxa" w:w="6840"/>
            <w:vAlign w:val="center"/>
            <w:tcMar>
              <w:top w:w="70" w:type="dxa"/>
              <w:start w:w="90" w:type="dxa"/>
              <w:bottom w:w="70" w:type="dxa"/>
              <w:end w:w="90" w:type="dxa"/>
            </w:tcMar>
          </w:tcPr>
          <w:p>
            <w:pPr>
              <w:widowControl/>
              <w:spacing w:after="0" w:line="247" w:lineRule="auto"/>
            </w:pPr>
            <w:r/>
            <w:r>
              <w:rPr>
                <w:rFonts w:ascii="Aptos" w:hAnsi="Aptos"/>
                <w:b w:val="0"/>
                <w:color w:val="202B33"/>
                <w:sz w:val="16"/>
              </w:rPr>
              <w:t>High/very-high clinical risk; FRS may underestimate</w:t>
            </w:r>
          </w:p>
        </w:tc>
      </w:tr>
      <w:tr>
        <w:trPr>
          <w:cantSplit/>
        </w:trPr>
        <w:tc>
          <w:tcPr>
            <w:tcW w:type="dxa" w:w="3096"/>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Single abnormal result</w:t>
            </w:r>
          </w:p>
        </w:tc>
        <w:tc>
          <w:tcPr>
            <w:tcW w:type="dxa" w:w="68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Requires chronicity or other kidney-damage evidence before CKD label</w:t>
            </w:r>
          </w:p>
        </w:tc>
      </w:tr>
    </w:tbl>
    <w:p>
      <w:pPr>
        <w:spacing w:after="20"/>
      </w:pPr>
    </w:p>
    <w:p>
      <w:pPr>
        <w:pStyle w:val="Heading1"/>
      </w:pPr>
      <w:r>
        <w:t>8. Safety and escalation matrix</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3672"/>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Trigger</w:t>
            </w:r>
          </w:p>
        </w:tc>
        <w:tc>
          <w:tcPr>
            <w:tcW w:type="dxa" w:w="1440"/>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Urgency</w:t>
            </w:r>
          </w:p>
        </w:tc>
        <w:tc>
          <w:tcPr>
            <w:tcW w:type="dxa" w:w="4824"/>
            <w:vAlign w:val="center"/>
            <w:tcMar>
              <w:top w:w="70" w:type="dxa"/>
              <w:start w:w="90" w:type="dxa"/>
              <w:bottom w:w="70" w:type="dxa"/>
              <w:end w:w="90" w:type="dxa"/>
            </w:tcMar>
            <w:shd w:fill="17324D"/>
          </w:tcPr>
          <w:p>
            <w:pPr>
              <w:widowControl/>
              <w:spacing w:after="0" w:line="247" w:lineRule="auto"/>
            </w:pPr>
            <w:r/>
            <w:r>
              <w:rPr>
                <w:rFonts w:ascii="Aptos" w:hAnsi="Aptos"/>
                <w:b/>
                <w:color w:val="FFFFFF"/>
                <w:sz w:val="15"/>
              </w:rPr>
              <w:t>Minimum platform response</w:t>
            </w:r>
          </w:p>
        </w:tc>
      </w:tr>
      <w:tr>
        <w:trPr>
          <w:cantSplit/>
        </w:trPr>
        <w:tc>
          <w:tcPr>
            <w:tcW w:type="dxa" w:w="3672"/>
            <w:vAlign w:val="center"/>
            <w:tcMar>
              <w:top w:w="70" w:type="dxa"/>
              <w:start w:w="90" w:type="dxa"/>
              <w:bottom w:w="70" w:type="dxa"/>
              <w:end w:w="90" w:type="dxa"/>
            </w:tcMar>
          </w:tcPr>
          <w:p>
            <w:pPr>
              <w:widowControl/>
              <w:spacing w:after="0" w:line="247" w:lineRule="auto"/>
            </w:pPr>
            <w:r/>
            <w:r>
              <w:rPr>
                <w:rFonts w:ascii="Aptos" w:hAnsi="Aptos"/>
                <w:b w:val="0"/>
                <w:color w:val="202B33"/>
                <w:sz w:val="15"/>
              </w:rPr>
              <w:t>Chest pain, acute breathlessness, stroke symptoms, collapse</w:t>
            </w:r>
          </w:p>
        </w:tc>
        <w:tc>
          <w:tcPr>
            <w:tcW w:type="dxa" w:w="1440"/>
            <w:vAlign w:val="center"/>
            <w:tcMar>
              <w:top w:w="70" w:type="dxa"/>
              <w:start w:w="90" w:type="dxa"/>
              <w:bottom w:w="70" w:type="dxa"/>
              <w:end w:w="90" w:type="dxa"/>
            </w:tcMar>
          </w:tcPr>
          <w:p>
            <w:pPr>
              <w:widowControl/>
              <w:spacing w:after="0" w:line="247" w:lineRule="auto"/>
            </w:pPr>
            <w:r/>
            <w:r>
              <w:rPr>
                <w:rFonts w:ascii="Aptos" w:hAnsi="Aptos"/>
                <w:b w:val="0"/>
                <w:color w:val="202B33"/>
                <w:sz w:val="15"/>
              </w:rPr>
              <w:t>Emergency</w:t>
            </w:r>
          </w:p>
        </w:tc>
        <w:tc>
          <w:tcPr>
            <w:tcW w:type="dxa" w:w="4824"/>
            <w:vAlign w:val="center"/>
            <w:tcMar>
              <w:top w:w="70" w:type="dxa"/>
              <w:start w:w="90" w:type="dxa"/>
              <w:bottom w:w="70" w:type="dxa"/>
              <w:end w:w="90" w:type="dxa"/>
            </w:tcMar>
          </w:tcPr>
          <w:p>
            <w:pPr>
              <w:widowControl/>
              <w:spacing w:after="0" w:line="247" w:lineRule="auto"/>
            </w:pPr>
            <w:r/>
            <w:r>
              <w:rPr>
                <w:rFonts w:ascii="Aptos" w:hAnsi="Aptos"/>
                <w:b w:val="0"/>
                <w:color w:val="202B33"/>
                <w:sz w:val="15"/>
              </w:rPr>
              <w:t>Advise immediate emergency services; stop routine scoring</w:t>
            </w:r>
          </w:p>
        </w:tc>
      </w:tr>
      <w:tr>
        <w:trPr>
          <w:cantSplit/>
        </w:trPr>
        <w:tc>
          <w:tcPr>
            <w:tcW w:type="dxa" w:w="367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BP &gt;=180/120 with concerning symptoms</w:t>
            </w:r>
          </w:p>
        </w:tc>
        <w:tc>
          <w:tcPr>
            <w:tcW w:type="dxa" w:w="14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Emergency</w:t>
            </w:r>
          </w:p>
        </w:tc>
        <w:tc>
          <w:tcPr>
            <w:tcW w:type="dxa" w:w="482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Emergency pathway</w:t>
            </w:r>
          </w:p>
        </w:tc>
      </w:tr>
      <w:tr>
        <w:trPr>
          <w:cantSplit/>
        </w:trPr>
        <w:tc>
          <w:tcPr>
            <w:tcW w:type="dxa" w:w="3672"/>
            <w:vAlign w:val="center"/>
            <w:tcMar>
              <w:top w:w="70" w:type="dxa"/>
              <w:start w:w="90" w:type="dxa"/>
              <w:bottom w:w="70" w:type="dxa"/>
              <w:end w:w="90" w:type="dxa"/>
            </w:tcMar>
          </w:tcPr>
          <w:p>
            <w:pPr>
              <w:widowControl/>
              <w:spacing w:after="0" w:line="247" w:lineRule="auto"/>
            </w:pPr>
            <w:r/>
            <w:r>
              <w:rPr>
                <w:rFonts w:ascii="Aptos" w:hAnsi="Aptos"/>
                <w:b w:val="0"/>
                <w:color w:val="202B33"/>
                <w:sz w:val="15"/>
              </w:rPr>
              <w:t>BP &gt;=180/120 without concerning symptoms</w:t>
            </w:r>
          </w:p>
        </w:tc>
        <w:tc>
          <w:tcPr>
            <w:tcW w:type="dxa" w:w="1440"/>
            <w:vAlign w:val="center"/>
            <w:tcMar>
              <w:top w:w="70" w:type="dxa"/>
              <w:start w:w="90" w:type="dxa"/>
              <w:bottom w:w="70" w:type="dxa"/>
              <w:end w:w="90" w:type="dxa"/>
            </w:tcMar>
          </w:tcPr>
          <w:p>
            <w:pPr>
              <w:widowControl/>
              <w:spacing w:after="0" w:line="247" w:lineRule="auto"/>
            </w:pPr>
            <w:r/>
            <w:r>
              <w:rPr>
                <w:rFonts w:ascii="Aptos" w:hAnsi="Aptos"/>
                <w:b w:val="0"/>
                <w:color w:val="202B33"/>
                <w:sz w:val="15"/>
              </w:rPr>
              <w:t>Urgent</w:t>
            </w:r>
          </w:p>
        </w:tc>
        <w:tc>
          <w:tcPr>
            <w:tcW w:type="dxa" w:w="4824"/>
            <w:vAlign w:val="center"/>
            <w:tcMar>
              <w:top w:w="70" w:type="dxa"/>
              <w:start w:w="90" w:type="dxa"/>
              <w:bottom w:w="70" w:type="dxa"/>
              <w:end w:w="90" w:type="dxa"/>
            </w:tcMar>
          </w:tcPr>
          <w:p>
            <w:pPr>
              <w:widowControl/>
              <w:spacing w:after="0" w:line="247" w:lineRule="auto"/>
            </w:pPr>
            <w:r/>
            <w:r>
              <w:rPr>
                <w:rFonts w:ascii="Aptos" w:hAnsi="Aptos"/>
                <w:b w:val="0"/>
                <w:color w:val="202B33"/>
                <w:sz w:val="15"/>
              </w:rPr>
              <w:t>Repeat correctly; urgent same-day assessment guidance</w:t>
            </w:r>
          </w:p>
        </w:tc>
      </w:tr>
      <w:tr>
        <w:trPr>
          <w:cantSplit/>
        </w:trPr>
        <w:tc>
          <w:tcPr>
            <w:tcW w:type="dxa" w:w="367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Triglycerides &gt;=10 mmol/L</w:t>
            </w:r>
          </w:p>
        </w:tc>
        <w:tc>
          <w:tcPr>
            <w:tcW w:type="dxa" w:w="14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Urgent</w:t>
            </w:r>
          </w:p>
        </w:tc>
        <w:tc>
          <w:tcPr>
            <w:tcW w:type="dxa" w:w="482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Prompt clinical assessment; symptom screen for pancreatitis</w:t>
            </w:r>
          </w:p>
        </w:tc>
      </w:tr>
      <w:tr>
        <w:trPr>
          <w:cantSplit/>
        </w:trPr>
        <w:tc>
          <w:tcPr>
            <w:tcW w:type="dxa" w:w="3672"/>
            <w:vAlign w:val="center"/>
            <w:tcMar>
              <w:top w:w="70" w:type="dxa"/>
              <w:start w:w="90" w:type="dxa"/>
              <w:bottom w:w="70" w:type="dxa"/>
              <w:end w:w="90" w:type="dxa"/>
            </w:tcMar>
          </w:tcPr>
          <w:p>
            <w:pPr>
              <w:widowControl/>
              <w:spacing w:after="0" w:line="247" w:lineRule="auto"/>
            </w:pPr>
            <w:r/>
            <w:r>
              <w:rPr>
                <w:rFonts w:ascii="Aptos" w:hAnsi="Aptos"/>
                <w:b w:val="0"/>
                <w:color w:val="202B33"/>
                <w:sz w:val="15"/>
              </w:rPr>
              <w:t>Marked LDL-C with premature personal/family CVD</w:t>
            </w:r>
          </w:p>
        </w:tc>
        <w:tc>
          <w:tcPr>
            <w:tcW w:type="dxa" w:w="1440"/>
            <w:vAlign w:val="center"/>
            <w:tcMar>
              <w:top w:w="70" w:type="dxa"/>
              <w:start w:w="90" w:type="dxa"/>
              <w:bottom w:w="70" w:type="dxa"/>
              <w:end w:w="90" w:type="dxa"/>
            </w:tcMar>
          </w:tcPr>
          <w:p>
            <w:pPr>
              <w:widowControl/>
              <w:spacing w:after="0" w:line="247" w:lineRule="auto"/>
            </w:pPr>
            <w:r/>
            <w:r>
              <w:rPr>
                <w:rFonts w:ascii="Aptos" w:hAnsi="Aptos"/>
                <w:b w:val="0"/>
                <w:color w:val="202B33"/>
                <w:sz w:val="15"/>
              </w:rPr>
              <w:t>Prompt</w:t>
            </w:r>
          </w:p>
        </w:tc>
        <w:tc>
          <w:tcPr>
            <w:tcW w:type="dxa" w:w="4824"/>
            <w:vAlign w:val="center"/>
            <w:tcMar>
              <w:top w:w="70" w:type="dxa"/>
              <w:start w:w="90" w:type="dxa"/>
              <w:bottom w:w="70" w:type="dxa"/>
              <w:end w:w="90" w:type="dxa"/>
            </w:tcMar>
          </w:tcPr>
          <w:p>
            <w:pPr>
              <w:widowControl/>
              <w:spacing w:after="0" w:line="247" w:lineRule="auto"/>
            </w:pPr>
            <w:r/>
            <w:r>
              <w:rPr>
                <w:rFonts w:ascii="Aptos" w:hAnsi="Aptos"/>
                <w:b w:val="0"/>
                <w:color w:val="202B33"/>
                <w:sz w:val="15"/>
              </w:rPr>
              <w:t>Possible FH pathway and clinician referral</w:t>
            </w:r>
          </w:p>
        </w:tc>
      </w:tr>
      <w:tr>
        <w:trPr>
          <w:cantSplit/>
        </w:trPr>
        <w:tc>
          <w:tcPr>
            <w:tcW w:type="dxa" w:w="367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New high FRS or high ApoB/Lp(a) modifier</w:t>
            </w:r>
          </w:p>
        </w:tc>
        <w:tc>
          <w:tcPr>
            <w:tcW w:type="dxa" w:w="1440"/>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Routine to prompt</w:t>
            </w:r>
          </w:p>
        </w:tc>
        <w:tc>
          <w:tcPr>
            <w:tcW w:type="dxa" w:w="482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5"/>
              </w:rPr>
              <w:t>Clinician cardiovascular-risk review</w:t>
            </w:r>
          </w:p>
        </w:tc>
      </w:tr>
      <w:tr>
        <w:trPr>
          <w:cantSplit/>
        </w:trPr>
        <w:tc>
          <w:tcPr>
            <w:tcW w:type="dxa" w:w="3672"/>
            <w:vAlign w:val="center"/>
            <w:tcMar>
              <w:top w:w="70" w:type="dxa"/>
              <w:start w:w="90" w:type="dxa"/>
              <w:bottom w:w="70" w:type="dxa"/>
              <w:end w:w="90" w:type="dxa"/>
            </w:tcMar>
          </w:tcPr>
          <w:p>
            <w:pPr>
              <w:widowControl/>
              <w:spacing w:after="0" w:line="247" w:lineRule="auto"/>
            </w:pPr>
            <w:r/>
            <w:r>
              <w:rPr>
                <w:rFonts w:ascii="Aptos" w:hAnsi="Aptos"/>
                <w:b w:val="0"/>
                <w:color w:val="202B33"/>
                <w:sz w:val="15"/>
              </w:rPr>
              <w:t>Single mildly abnormal ratio only</w:t>
            </w:r>
          </w:p>
        </w:tc>
        <w:tc>
          <w:tcPr>
            <w:tcW w:type="dxa" w:w="1440"/>
            <w:vAlign w:val="center"/>
            <w:tcMar>
              <w:top w:w="70" w:type="dxa"/>
              <w:start w:w="90" w:type="dxa"/>
              <w:bottom w:w="70" w:type="dxa"/>
              <w:end w:w="90" w:type="dxa"/>
            </w:tcMar>
          </w:tcPr>
          <w:p>
            <w:pPr>
              <w:widowControl/>
              <w:spacing w:after="0" w:line="247" w:lineRule="auto"/>
            </w:pPr>
            <w:r/>
            <w:r>
              <w:rPr>
                <w:rFonts w:ascii="Aptos" w:hAnsi="Aptos"/>
                <w:b w:val="0"/>
                <w:color w:val="202B33"/>
                <w:sz w:val="15"/>
              </w:rPr>
              <w:t>Routine</w:t>
            </w:r>
          </w:p>
        </w:tc>
        <w:tc>
          <w:tcPr>
            <w:tcW w:type="dxa" w:w="4824"/>
            <w:vAlign w:val="center"/>
            <w:tcMar>
              <w:top w:w="70" w:type="dxa"/>
              <w:start w:w="90" w:type="dxa"/>
              <w:bottom w:w="70" w:type="dxa"/>
              <w:end w:w="90" w:type="dxa"/>
            </w:tcMar>
          </w:tcPr>
          <w:p>
            <w:pPr>
              <w:widowControl/>
              <w:spacing w:after="0" w:line="247" w:lineRule="auto"/>
            </w:pPr>
            <w:r/>
            <w:r>
              <w:rPr>
                <w:rFonts w:ascii="Aptos" w:hAnsi="Aptos"/>
                <w:b w:val="0"/>
                <w:color w:val="202B33"/>
                <w:sz w:val="15"/>
              </w:rPr>
              <w:t>Lifestyle context and repeat with core markers</w:t>
            </w:r>
          </w:p>
        </w:tc>
      </w:tr>
    </w:tbl>
    <w:p>
      <w:pPr>
        <w:spacing w:after="20"/>
      </w:pPr>
    </w:p>
    <w:p>
      <w:pPr>
        <w:pStyle w:val="Heading1"/>
      </w:pPr>
      <w:r>
        <w:t>9. Report-generation rules</w:t>
      </w:r>
    </w:p>
    <w:p>
      <w:r>
        <w:t>Each cardiovascular report should produce the following blocks in this order.</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304"/>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Block</w:t>
            </w:r>
          </w:p>
        </w:tc>
        <w:tc>
          <w:tcPr>
            <w:tcW w:type="dxa" w:w="7632"/>
            <w:vAlign w:val="center"/>
            <w:tcMar>
              <w:top w:w="70" w:type="dxa"/>
              <w:start w:w="90" w:type="dxa"/>
              <w:bottom w:w="70" w:type="dxa"/>
              <w:end w:w="90" w:type="dxa"/>
            </w:tcMar>
            <w:shd w:fill="17324D"/>
          </w:tcPr>
          <w:p>
            <w:pPr>
              <w:widowControl/>
              <w:spacing w:after="0" w:line="247" w:lineRule="auto"/>
            </w:pPr>
            <w:r/>
            <w:r>
              <w:rPr>
                <w:rFonts w:ascii="Aptos" w:hAnsi="Aptos"/>
                <w:b/>
                <w:color w:val="FFFFFF"/>
                <w:sz w:val="16"/>
              </w:rPr>
              <w:t>Required content</w:t>
            </w:r>
          </w:p>
        </w:tc>
      </w:tr>
      <w:tr>
        <w:trPr>
          <w:cantSplit/>
        </w:trPr>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6"/>
              </w:rPr>
              <w:t>Safety status</w:t>
            </w:r>
          </w:p>
        </w:tc>
        <w:tc>
          <w:tcPr>
            <w:tcW w:type="dxa" w:w="7632"/>
            <w:vAlign w:val="center"/>
            <w:tcMar>
              <w:top w:w="70" w:type="dxa"/>
              <w:start w:w="90" w:type="dxa"/>
              <w:bottom w:w="70" w:type="dxa"/>
              <w:end w:w="90" w:type="dxa"/>
            </w:tcMar>
          </w:tcPr>
          <w:p>
            <w:pPr>
              <w:widowControl/>
              <w:spacing w:after="0" w:line="247" w:lineRule="auto"/>
            </w:pPr>
            <w:r/>
            <w:r>
              <w:rPr>
                <w:rFonts w:ascii="Aptos" w:hAnsi="Aptos"/>
                <w:b w:val="0"/>
                <w:color w:val="202B33"/>
                <w:sz w:val="16"/>
              </w:rPr>
              <w:t>No red flag / prompt review / urgent / emergency</w:t>
            </w:r>
          </w:p>
        </w:tc>
      </w:tr>
      <w:tr>
        <w:trPr>
          <w:cantSplit/>
        </w:trPr>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Headline</w:t>
            </w:r>
          </w:p>
        </w:tc>
        <w:tc>
          <w:tcPr>
            <w:tcW w:type="dxa" w:w="76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One sentence combining BP, lipid burden and whole-person risk</w:t>
            </w:r>
          </w:p>
        </w:tc>
      </w:tr>
      <w:tr>
        <w:trPr>
          <w:cantSplit/>
        </w:trPr>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6"/>
              </w:rPr>
              <w:t>BP</w:t>
            </w:r>
          </w:p>
        </w:tc>
        <w:tc>
          <w:tcPr>
            <w:tcW w:type="dxa" w:w="7632"/>
            <w:vAlign w:val="center"/>
            <w:tcMar>
              <w:top w:w="70" w:type="dxa"/>
              <w:start w:w="90" w:type="dxa"/>
              <w:bottom w:w="70" w:type="dxa"/>
              <w:end w:w="90" w:type="dxa"/>
            </w:tcMar>
          </w:tcPr>
          <w:p>
            <w:pPr>
              <w:widowControl/>
              <w:spacing w:after="0" w:line="247" w:lineRule="auto"/>
            </w:pPr>
            <w:r/>
            <w:r>
              <w:rPr>
                <w:rFonts w:ascii="Aptos" w:hAnsi="Aptos"/>
                <w:b w:val="0"/>
                <w:color w:val="202B33"/>
                <w:sz w:val="16"/>
              </w:rPr>
              <w:t>Readings, setting, category, confirmation status</w:t>
            </w:r>
          </w:p>
        </w:tc>
      </w:tr>
      <w:tr>
        <w:trPr>
          <w:cantSplit/>
        </w:trPr>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10-year risk</w:t>
            </w:r>
          </w:p>
        </w:tc>
        <w:tc>
          <w:tcPr>
            <w:tcW w:type="dxa" w:w="76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FRS percentage/category or reason not calculated</w:t>
            </w:r>
          </w:p>
        </w:tc>
      </w:tr>
      <w:tr>
        <w:trPr>
          <w:cantSplit/>
        </w:trPr>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6"/>
              </w:rPr>
              <w:t>Core lipids</w:t>
            </w:r>
          </w:p>
        </w:tc>
        <w:tc>
          <w:tcPr>
            <w:tcW w:type="dxa" w:w="7632"/>
            <w:vAlign w:val="center"/>
            <w:tcMar>
              <w:top w:w="70" w:type="dxa"/>
              <w:start w:w="90" w:type="dxa"/>
              <w:bottom w:w="70" w:type="dxa"/>
              <w:end w:w="90" w:type="dxa"/>
            </w:tcMar>
          </w:tcPr>
          <w:p>
            <w:pPr>
              <w:widowControl/>
              <w:spacing w:after="0" w:line="247" w:lineRule="auto"/>
            </w:pPr>
            <w:r/>
            <w:r>
              <w:rPr>
                <w:rFonts w:ascii="Aptos" w:hAnsi="Aptos"/>
                <w:b w:val="0"/>
                <w:color w:val="202B33"/>
                <w:sz w:val="16"/>
              </w:rPr>
              <w:t>TC, LDL-C, HDL-C, TG and non-HDL-C with units</w:t>
            </w:r>
          </w:p>
        </w:tc>
      </w:tr>
      <w:tr>
        <w:trPr>
          <w:cantSplit/>
        </w:trPr>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Advanced lipids</w:t>
            </w:r>
          </w:p>
        </w:tc>
        <w:tc>
          <w:tcPr>
            <w:tcW w:type="dxa" w:w="76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ApoB, ApoA-I, ApoB/ApoA-I and Lp(a), when available</w:t>
            </w:r>
          </w:p>
        </w:tc>
      </w:tr>
      <w:tr>
        <w:trPr>
          <w:cantSplit/>
        </w:trPr>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6"/>
              </w:rPr>
              <w:t>Supplementary indices</w:t>
            </w:r>
          </w:p>
        </w:tc>
        <w:tc>
          <w:tcPr>
            <w:tcW w:type="dxa" w:w="7632"/>
            <w:vAlign w:val="center"/>
            <w:tcMar>
              <w:top w:w="70" w:type="dxa"/>
              <w:start w:w="90" w:type="dxa"/>
              <w:bottom w:w="70" w:type="dxa"/>
              <w:end w:w="90" w:type="dxa"/>
            </w:tcMar>
          </w:tcPr>
          <w:p>
            <w:pPr>
              <w:widowControl/>
              <w:spacing w:after="0" w:line="247" w:lineRule="auto"/>
            </w:pPr>
            <w:r/>
            <w:r>
              <w:rPr>
                <w:rFonts w:ascii="Aptos" w:hAnsi="Aptos"/>
                <w:b w:val="0"/>
                <w:color w:val="202B33"/>
                <w:sz w:val="16"/>
              </w:rPr>
              <w:t>AIP and Castelli I/II with limitations</w:t>
            </w:r>
          </w:p>
        </w:tc>
      </w:tr>
      <w:tr>
        <w:trPr>
          <w:cantSplit/>
        </w:trPr>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Risk modifiers</w:t>
            </w:r>
          </w:p>
        </w:tc>
        <w:tc>
          <w:tcPr>
            <w:tcW w:type="dxa" w:w="76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Diabetes, CKD, smoking, family history, waist and Lp(a)</w:t>
            </w:r>
          </w:p>
        </w:tc>
      </w:tr>
      <w:tr>
        <w:trPr>
          <w:cantSplit/>
        </w:trPr>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6"/>
              </w:rPr>
              <w:t>Why this result</w:t>
            </w:r>
          </w:p>
        </w:tc>
        <w:tc>
          <w:tcPr>
            <w:tcW w:type="dxa" w:w="7632"/>
            <w:vAlign w:val="center"/>
            <w:tcMar>
              <w:top w:w="70" w:type="dxa"/>
              <w:start w:w="90" w:type="dxa"/>
              <w:bottom w:w="70" w:type="dxa"/>
              <w:end w:w="90" w:type="dxa"/>
            </w:tcMar>
          </w:tcPr>
          <w:p>
            <w:pPr>
              <w:widowControl/>
              <w:spacing w:after="0" w:line="247" w:lineRule="auto"/>
            </w:pPr>
            <w:r/>
            <w:r>
              <w:rPr>
                <w:rFonts w:ascii="Aptos" w:hAnsi="Aptos"/>
                <w:b w:val="0"/>
                <w:color w:val="202B33"/>
                <w:sz w:val="16"/>
              </w:rPr>
              <w:t>Criteria met and discordance explanation</w:t>
            </w:r>
          </w:p>
        </w:tc>
      </w:tr>
      <w:tr>
        <w:trPr>
          <w:cantSplit/>
        </w:trPr>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Actions</w:t>
            </w:r>
          </w:p>
        </w:tc>
        <w:tc>
          <w:tcPr>
            <w:tcW w:type="dxa" w:w="76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6"/>
              </w:rPr>
              <w:t>Emergency/referral/lifestyle/repeat-test guidance</w:t>
            </w:r>
          </w:p>
        </w:tc>
      </w:tr>
      <w:tr>
        <w:trPr>
          <w:cantSplit/>
        </w:trPr>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6"/>
              </w:rPr>
              <w:t>Follow-up</w:t>
            </w:r>
          </w:p>
        </w:tc>
        <w:tc>
          <w:tcPr>
            <w:tcW w:type="dxa" w:w="7632"/>
            <w:vAlign w:val="center"/>
            <w:tcMar>
              <w:top w:w="70" w:type="dxa"/>
              <w:start w:w="90" w:type="dxa"/>
              <w:bottom w:w="70" w:type="dxa"/>
              <w:end w:w="90" w:type="dxa"/>
            </w:tcMar>
          </w:tcPr>
          <w:p>
            <w:pPr>
              <w:widowControl/>
              <w:spacing w:after="0" w:line="247" w:lineRule="auto"/>
            </w:pPr>
            <w:r/>
            <w:r>
              <w:rPr>
                <w:rFonts w:ascii="Aptos" w:hAnsi="Aptos"/>
                <w:b w:val="0"/>
                <w:color w:val="202B33"/>
                <w:sz w:val="16"/>
              </w:rPr>
              <w:t>Suggested monitoring items and clinician-confirmed interval</w:t>
            </w:r>
          </w:p>
        </w:tc>
      </w:tr>
    </w:tbl>
    <w:p>
      <w:pPr>
        <w:spacing w:after="20"/>
      </w:pPr>
    </w:p>
    <w:p>
      <w:pPr>
        <w:pStyle w:val="Heading2"/>
      </w:pPr>
      <w:r>
        <w:t>Example output language</w:t>
      </w: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167D8D"/>
                <w:sz w:val="18"/>
              </w:rPr>
              <w:t>BALANCED LIPID EXPLANATION</w:t>
            </w:r>
          </w:p>
          <w:p>
            <w:pPr>
              <w:widowControl/>
              <w:spacing w:after="0" w:line="259" w:lineRule="auto"/>
            </w:pPr>
            <w:r>
              <w:rPr>
                <w:sz w:val="18"/>
              </w:rPr>
              <w:t>Your LDL cholesterol is within the stated laboratory range, but ApoB is above the goal associated with your risk category. This means the number of cholesterol-carrying particles may be higher than LDL cholesterol alone suggests. The AIP and cholesterol ratios support the same overall pattern, but they are supplementary indicators rather than treatment targets.</w:t>
            </w:r>
          </w:p>
        </w:tc>
      </w:tr>
    </w:tbl>
    <w:p>
      <w:pPr>
        <w:spacing w:after="20"/>
      </w:pP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167D8D"/>
                <w:sz w:val="18"/>
              </w:rPr>
              <w:t>RISK-SCORE EXPLANATION</w:t>
            </w:r>
          </w:p>
          <w:p>
            <w:pPr>
              <w:widowControl/>
              <w:spacing w:after="0" w:line="259" w:lineRule="auto"/>
            </w:pPr>
            <w:r>
              <w:rPr>
                <w:sz w:val="18"/>
              </w:rPr>
              <w:t>Your Framingham result estimates the chance of a major cardiovascular event over the next 10 years using age, sex, cholesterol, blood pressure, smoking and diabetes information. It is a population-based estimate, not a prediction of what will definitely happen to you.</w:t>
            </w:r>
          </w:p>
        </w:tc>
      </w:tr>
    </w:tbl>
    <w:p>
      <w:pPr>
        <w:spacing w:after="20"/>
      </w:pPr>
    </w:p>
    <w:p>
      <w:pPr>
        <w:pStyle w:val="Heading2"/>
      </w:pPr>
      <w:r>
        <w:t>Prohibited claims</w:t>
      </w:r>
    </w:p>
    <w:p>
      <w:pPr>
        <w:pStyle w:val="ListBullet"/>
        <w:spacing w:after="40"/>
      </w:pPr>
      <w:r>
        <w:t>“You have blocked arteries” based on AIP or a Castelli ratio.</w:t>
      </w:r>
    </w:p>
    <w:p>
      <w:pPr>
        <w:pStyle w:val="ListBullet"/>
        <w:spacing w:after="40"/>
      </w:pPr>
      <w:r>
        <w:t>“No cardiovascular risk” because HDL-C is high or FRS is low.</w:t>
      </w:r>
    </w:p>
    <w:p>
      <w:pPr>
        <w:pStyle w:val="ListBullet"/>
        <w:spacing w:after="40"/>
      </w:pPr>
      <w:r>
        <w:t>“You have familial hypercholesterolaemia” from one LDL-C result.</w:t>
      </w:r>
    </w:p>
    <w:p>
      <w:pPr>
        <w:pStyle w:val="ListBullet"/>
        <w:spacing w:after="40"/>
      </w:pPr>
      <w:r>
        <w:t>“Your heart is healthy” from a normal lipid profile.</w:t>
      </w:r>
    </w:p>
    <w:p>
      <w:pPr>
        <w:pStyle w:val="ListBullet"/>
        <w:spacing w:after="40"/>
      </w:pPr>
      <w:r>
        <w:t>Medication initiation, cessation or dose changes without clinician involvement.</w:t>
      </w:r>
    </w:p>
    <w:p>
      <w:pPr>
        <w:pStyle w:val="Heading1"/>
      </w:pPr>
      <w:r>
        <w:t>10. Quality assurance and calculator validation</w:t>
      </w:r>
    </w:p>
    <w:p>
      <w:pPr>
        <w:pStyle w:val="ListBullet"/>
        <w:spacing w:after="40"/>
      </w:pPr>
      <w:r>
        <w:t>Unit tests for mmol/L and mg/dL conversion.</w:t>
      </w:r>
    </w:p>
    <w:p>
      <w:pPr>
        <w:pStyle w:val="ListBullet"/>
        <w:spacing w:after="40"/>
      </w:pPr>
      <w:r>
        <w:t>Golden-case comparison against the adopted FRS reference implementation.</w:t>
      </w:r>
    </w:p>
    <w:p>
      <w:pPr>
        <w:pStyle w:val="ListBullet"/>
        <w:spacing w:after="40"/>
      </w:pPr>
      <w:r>
        <w:t>Boundary tests immediately below, at and above every classification threshold.</w:t>
      </w:r>
    </w:p>
    <w:p>
      <w:pPr>
        <w:pStyle w:val="ListBullet"/>
        <w:spacing w:after="40"/>
      </w:pPr>
      <w:r>
        <w:t>Missing-value and contradictory-value tests.</w:t>
      </w:r>
    </w:p>
    <w:p>
      <w:pPr>
        <w:pStyle w:val="ListBullet"/>
        <w:spacing w:after="40"/>
      </w:pPr>
      <w:r>
        <w:t>Sex-, age-, treatment- and disease-exclusion tests.</w:t>
      </w:r>
    </w:p>
    <w:p>
      <w:pPr>
        <w:pStyle w:val="ListBullet"/>
        <w:spacing w:after="40"/>
      </w:pPr>
      <w:r>
        <w:t>Independent clinical review of all report phrases and red-flag routes.</w:t>
      </w:r>
    </w:p>
    <w:p>
      <w:pPr>
        <w:pStyle w:val="ListBullet"/>
        <w:spacing w:after="40"/>
      </w:pPr>
      <w:r>
        <w:t>Versioned coefficients, thresholds, references and release dates.</w:t>
      </w:r>
    </w:p>
    <w:p>
      <w:pPr>
        <w:pStyle w:val="ListBullet"/>
        <w:spacing w:after="40"/>
      </w:pPr>
      <w:r>
        <w:t>Audit log preserving source values, transformed values, formula version and output.</w:t>
      </w:r>
    </w:p>
    <w:p>
      <w:pPr>
        <w:pStyle w:val="Heading1"/>
      </w:pPr>
      <w:r>
        <w:t>11. Implementation-ready calculator register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792"/>
            <w:vAlign w:val="center"/>
            <w:tcMar>
              <w:top w:w="70" w:type="dxa"/>
              <w:start w:w="90" w:type="dxa"/>
              <w:bottom w:w="70" w:type="dxa"/>
              <w:end w:w="90" w:type="dxa"/>
            </w:tcMar>
            <w:shd w:fill="17324D"/>
          </w:tcPr>
          <w:p>
            <w:pPr>
              <w:widowControl/>
              <w:spacing w:after="0" w:line="247" w:lineRule="auto"/>
            </w:pPr>
            <w:r/>
            <w:r>
              <w:rPr>
                <w:rFonts w:ascii="Aptos" w:hAnsi="Aptos"/>
                <w:b/>
                <w:color w:val="FFFFFF"/>
                <w:sz w:val="14"/>
              </w:rPr>
              <w:t>ID</w:t>
            </w:r>
          </w:p>
        </w:tc>
        <w:tc>
          <w:tcPr>
            <w:tcW w:type="dxa" w:w="2232"/>
            <w:vAlign w:val="center"/>
            <w:tcMar>
              <w:top w:w="70" w:type="dxa"/>
              <w:start w:w="90" w:type="dxa"/>
              <w:bottom w:w="70" w:type="dxa"/>
              <w:end w:w="90" w:type="dxa"/>
            </w:tcMar>
            <w:shd w:fill="17324D"/>
          </w:tcPr>
          <w:p>
            <w:pPr>
              <w:widowControl/>
              <w:spacing w:after="0" w:line="247" w:lineRule="auto"/>
            </w:pPr>
            <w:r/>
            <w:r>
              <w:rPr>
                <w:rFonts w:ascii="Aptos" w:hAnsi="Aptos"/>
                <w:b/>
                <w:color w:val="FFFFFF"/>
                <w:sz w:val="14"/>
              </w:rPr>
              <w:t>Calculator / classification</w:t>
            </w:r>
          </w:p>
        </w:tc>
        <w:tc>
          <w:tcPr>
            <w:tcW w:type="dxa" w:w="4608"/>
            <w:vAlign w:val="center"/>
            <w:tcMar>
              <w:top w:w="70" w:type="dxa"/>
              <w:start w:w="90" w:type="dxa"/>
              <w:bottom w:w="70" w:type="dxa"/>
              <w:end w:w="90" w:type="dxa"/>
            </w:tcMar>
            <w:shd w:fill="17324D"/>
          </w:tcPr>
          <w:p>
            <w:pPr>
              <w:widowControl/>
              <w:spacing w:after="0" w:line="247" w:lineRule="auto"/>
            </w:pPr>
            <w:r/>
            <w:r>
              <w:rPr>
                <w:rFonts w:ascii="Aptos" w:hAnsi="Aptos"/>
                <w:b/>
                <w:color w:val="FFFFFF"/>
                <w:sz w:val="14"/>
              </w:rPr>
              <w:t>Inputs</w:t>
            </w:r>
          </w:p>
        </w:tc>
        <w:tc>
          <w:tcPr>
            <w:tcW w:type="dxa" w:w="2304"/>
            <w:vAlign w:val="center"/>
            <w:tcMar>
              <w:top w:w="70" w:type="dxa"/>
              <w:start w:w="90" w:type="dxa"/>
              <w:bottom w:w="70" w:type="dxa"/>
              <w:end w:w="90" w:type="dxa"/>
            </w:tcMar>
            <w:shd w:fill="17324D"/>
          </w:tcPr>
          <w:p>
            <w:pPr>
              <w:widowControl/>
              <w:spacing w:after="0" w:line="247" w:lineRule="auto"/>
            </w:pPr>
            <w:r/>
            <w:r>
              <w:rPr>
                <w:rFonts w:ascii="Aptos" w:hAnsi="Aptos"/>
                <w:b/>
                <w:color w:val="FFFFFF"/>
                <w:sz w:val="14"/>
              </w:rPr>
              <w:t>Output priority</w:t>
            </w:r>
          </w:p>
        </w:tc>
      </w:tr>
      <w:tr>
        <w:trPr>
          <w:cantSplit/>
        </w:trPr>
        <w:tc>
          <w:tcPr>
            <w:tcW w:type="dxa" w:w="792"/>
            <w:vAlign w:val="center"/>
            <w:tcMar>
              <w:top w:w="70" w:type="dxa"/>
              <w:start w:w="90" w:type="dxa"/>
              <w:bottom w:w="70" w:type="dxa"/>
              <w:end w:w="90" w:type="dxa"/>
            </w:tcMar>
          </w:tcPr>
          <w:p>
            <w:pPr>
              <w:widowControl/>
              <w:spacing w:after="0" w:line="247" w:lineRule="auto"/>
            </w:pPr>
            <w:r/>
            <w:r>
              <w:rPr>
                <w:rFonts w:ascii="Aptos" w:hAnsi="Aptos"/>
                <w:b w:val="0"/>
                <w:color w:val="202B33"/>
                <w:sz w:val="14"/>
              </w:rPr>
              <w:t>CV-01</w:t>
            </w:r>
          </w:p>
        </w:tc>
        <w:tc>
          <w:tcPr>
            <w:tcW w:type="dxa" w:w="2232"/>
            <w:vAlign w:val="center"/>
            <w:tcMar>
              <w:top w:w="70" w:type="dxa"/>
              <w:start w:w="90" w:type="dxa"/>
              <w:bottom w:w="70" w:type="dxa"/>
              <w:end w:w="90" w:type="dxa"/>
            </w:tcMar>
          </w:tcPr>
          <w:p>
            <w:pPr>
              <w:widowControl/>
              <w:spacing w:after="0" w:line="247" w:lineRule="auto"/>
            </w:pPr>
            <w:r/>
            <w:r>
              <w:rPr>
                <w:rFonts w:ascii="Aptos" w:hAnsi="Aptos"/>
                <w:b w:val="0"/>
                <w:color w:val="202B33"/>
                <w:sz w:val="14"/>
              </w:rPr>
              <w:t>BP classification</w:t>
            </w:r>
          </w:p>
        </w:tc>
        <w:tc>
          <w:tcPr>
            <w:tcW w:type="dxa" w:w="4608"/>
            <w:vAlign w:val="center"/>
            <w:tcMar>
              <w:top w:w="70" w:type="dxa"/>
              <w:start w:w="90" w:type="dxa"/>
              <w:bottom w:w="70" w:type="dxa"/>
              <w:end w:w="90" w:type="dxa"/>
            </w:tcMar>
          </w:tcPr>
          <w:p>
            <w:pPr>
              <w:widowControl/>
              <w:spacing w:after="0" w:line="247" w:lineRule="auto"/>
            </w:pPr>
            <w:r/>
            <w:r>
              <w:rPr>
                <w:rFonts w:ascii="Aptos" w:hAnsi="Aptos"/>
                <w:b w:val="0"/>
                <w:color w:val="202B33"/>
                <w:sz w:val="14"/>
              </w:rPr>
              <w:t>SBP, DBP, setting, readings</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4"/>
              </w:rPr>
              <w:t>Core</w:t>
            </w:r>
          </w:p>
        </w:tc>
      </w:tr>
      <w:tr>
        <w:trPr>
          <w:cantSplit/>
        </w:trPr>
        <w:tc>
          <w:tcPr>
            <w:tcW w:type="dxa" w:w="7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CV-02</w:t>
            </w:r>
          </w:p>
        </w:tc>
        <w:tc>
          <w:tcPr>
            <w:tcW w:type="dxa" w:w="22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Framingham General CVD</w:t>
            </w:r>
          </w:p>
        </w:tc>
        <w:tc>
          <w:tcPr>
            <w:tcW w:type="dxa" w:w="460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Age, sex, TC, HDL-C, SBP, treatment, smoking, diabetes</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Core</w:t>
            </w:r>
          </w:p>
        </w:tc>
      </w:tr>
      <w:tr>
        <w:trPr>
          <w:cantSplit/>
        </w:trPr>
        <w:tc>
          <w:tcPr>
            <w:tcW w:type="dxa" w:w="792"/>
            <w:vAlign w:val="center"/>
            <w:tcMar>
              <w:top w:w="70" w:type="dxa"/>
              <w:start w:w="90" w:type="dxa"/>
              <w:bottom w:w="70" w:type="dxa"/>
              <w:end w:w="90" w:type="dxa"/>
            </w:tcMar>
          </w:tcPr>
          <w:p>
            <w:pPr>
              <w:widowControl/>
              <w:spacing w:after="0" w:line="247" w:lineRule="auto"/>
            </w:pPr>
            <w:r/>
            <w:r>
              <w:rPr>
                <w:rFonts w:ascii="Aptos" w:hAnsi="Aptos"/>
                <w:b w:val="0"/>
                <w:color w:val="202B33"/>
                <w:sz w:val="14"/>
              </w:rPr>
              <w:t>CV-03</w:t>
            </w:r>
          </w:p>
        </w:tc>
        <w:tc>
          <w:tcPr>
            <w:tcW w:type="dxa" w:w="2232"/>
            <w:vAlign w:val="center"/>
            <w:tcMar>
              <w:top w:w="70" w:type="dxa"/>
              <w:start w:w="90" w:type="dxa"/>
              <w:bottom w:w="70" w:type="dxa"/>
              <w:end w:w="90" w:type="dxa"/>
            </w:tcMar>
          </w:tcPr>
          <w:p>
            <w:pPr>
              <w:widowControl/>
              <w:spacing w:after="0" w:line="247" w:lineRule="auto"/>
            </w:pPr>
            <w:r/>
            <w:r>
              <w:rPr>
                <w:rFonts w:ascii="Aptos" w:hAnsi="Aptos"/>
                <w:b w:val="0"/>
                <w:color w:val="202B33"/>
                <w:sz w:val="14"/>
              </w:rPr>
              <w:t>Non-HDL-C</w:t>
            </w:r>
          </w:p>
        </w:tc>
        <w:tc>
          <w:tcPr>
            <w:tcW w:type="dxa" w:w="4608"/>
            <w:vAlign w:val="center"/>
            <w:tcMar>
              <w:top w:w="70" w:type="dxa"/>
              <w:start w:w="90" w:type="dxa"/>
              <w:bottom w:w="70" w:type="dxa"/>
              <w:end w:w="90" w:type="dxa"/>
            </w:tcMar>
          </w:tcPr>
          <w:p>
            <w:pPr>
              <w:widowControl/>
              <w:spacing w:after="0" w:line="247" w:lineRule="auto"/>
            </w:pPr>
            <w:r/>
            <w:r>
              <w:rPr>
                <w:rFonts w:ascii="Aptos" w:hAnsi="Aptos"/>
                <w:b w:val="0"/>
                <w:color w:val="202B33"/>
                <w:sz w:val="14"/>
              </w:rPr>
              <w:t>TC, HDL-C</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4"/>
              </w:rPr>
              <w:t>Core</w:t>
            </w:r>
          </w:p>
        </w:tc>
      </w:tr>
      <w:tr>
        <w:trPr>
          <w:cantSplit/>
        </w:trPr>
        <w:tc>
          <w:tcPr>
            <w:tcW w:type="dxa" w:w="7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CV-04</w:t>
            </w:r>
          </w:p>
        </w:tc>
        <w:tc>
          <w:tcPr>
            <w:tcW w:type="dxa" w:w="22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Calculated LDL-C</w:t>
            </w:r>
          </w:p>
        </w:tc>
        <w:tc>
          <w:tcPr>
            <w:tcW w:type="dxa" w:w="460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TC, HDL-C, TG</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Core with validity gate</w:t>
            </w:r>
          </w:p>
        </w:tc>
      </w:tr>
      <w:tr>
        <w:trPr>
          <w:cantSplit/>
        </w:trPr>
        <w:tc>
          <w:tcPr>
            <w:tcW w:type="dxa" w:w="792"/>
            <w:vAlign w:val="center"/>
            <w:tcMar>
              <w:top w:w="70" w:type="dxa"/>
              <w:start w:w="90" w:type="dxa"/>
              <w:bottom w:w="70" w:type="dxa"/>
              <w:end w:w="90" w:type="dxa"/>
            </w:tcMar>
          </w:tcPr>
          <w:p>
            <w:pPr>
              <w:widowControl/>
              <w:spacing w:after="0" w:line="247" w:lineRule="auto"/>
            </w:pPr>
            <w:r/>
            <w:r>
              <w:rPr>
                <w:rFonts w:ascii="Aptos" w:hAnsi="Aptos"/>
                <w:b w:val="0"/>
                <w:color w:val="202B33"/>
                <w:sz w:val="14"/>
              </w:rPr>
              <w:t>CV-05</w:t>
            </w:r>
          </w:p>
        </w:tc>
        <w:tc>
          <w:tcPr>
            <w:tcW w:type="dxa" w:w="2232"/>
            <w:vAlign w:val="center"/>
            <w:tcMar>
              <w:top w:w="70" w:type="dxa"/>
              <w:start w:w="90" w:type="dxa"/>
              <w:bottom w:w="70" w:type="dxa"/>
              <w:end w:w="90" w:type="dxa"/>
            </w:tcMar>
          </w:tcPr>
          <w:p>
            <w:pPr>
              <w:widowControl/>
              <w:spacing w:after="0" w:line="247" w:lineRule="auto"/>
            </w:pPr>
            <w:r/>
            <w:r>
              <w:rPr>
                <w:rFonts w:ascii="Aptos" w:hAnsi="Aptos"/>
                <w:b w:val="0"/>
                <w:color w:val="202B33"/>
                <w:sz w:val="14"/>
              </w:rPr>
              <w:t>AIP</w:t>
            </w:r>
          </w:p>
        </w:tc>
        <w:tc>
          <w:tcPr>
            <w:tcW w:type="dxa" w:w="4608"/>
            <w:vAlign w:val="center"/>
            <w:tcMar>
              <w:top w:w="70" w:type="dxa"/>
              <w:start w:w="90" w:type="dxa"/>
              <w:bottom w:w="70" w:type="dxa"/>
              <w:end w:w="90" w:type="dxa"/>
            </w:tcMar>
          </w:tcPr>
          <w:p>
            <w:pPr>
              <w:widowControl/>
              <w:spacing w:after="0" w:line="247" w:lineRule="auto"/>
            </w:pPr>
            <w:r/>
            <w:r>
              <w:rPr>
                <w:rFonts w:ascii="Aptos" w:hAnsi="Aptos"/>
                <w:b w:val="0"/>
                <w:color w:val="202B33"/>
                <w:sz w:val="14"/>
              </w:rPr>
              <w:t>TG, HDL-C in mmol/L</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4"/>
              </w:rPr>
              <w:t>Supplementary</w:t>
            </w:r>
          </w:p>
        </w:tc>
      </w:tr>
      <w:tr>
        <w:trPr>
          <w:cantSplit/>
        </w:trPr>
        <w:tc>
          <w:tcPr>
            <w:tcW w:type="dxa" w:w="7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CV-06</w:t>
            </w:r>
          </w:p>
        </w:tc>
        <w:tc>
          <w:tcPr>
            <w:tcW w:type="dxa" w:w="22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Castelli I</w:t>
            </w:r>
          </w:p>
        </w:tc>
        <w:tc>
          <w:tcPr>
            <w:tcW w:type="dxa" w:w="460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TC, HDL-C</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Supplementary</w:t>
            </w:r>
          </w:p>
        </w:tc>
      </w:tr>
      <w:tr>
        <w:trPr>
          <w:cantSplit/>
        </w:trPr>
        <w:tc>
          <w:tcPr>
            <w:tcW w:type="dxa" w:w="792"/>
            <w:vAlign w:val="center"/>
            <w:tcMar>
              <w:top w:w="70" w:type="dxa"/>
              <w:start w:w="90" w:type="dxa"/>
              <w:bottom w:w="70" w:type="dxa"/>
              <w:end w:w="90" w:type="dxa"/>
            </w:tcMar>
          </w:tcPr>
          <w:p>
            <w:pPr>
              <w:widowControl/>
              <w:spacing w:after="0" w:line="247" w:lineRule="auto"/>
            </w:pPr>
            <w:r/>
            <w:r>
              <w:rPr>
                <w:rFonts w:ascii="Aptos" w:hAnsi="Aptos"/>
                <w:b w:val="0"/>
                <w:color w:val="202B33"/>
                <w:sz w:val="14"/>
              </w:rPr>
              <w:t>CV-07</w:t>
            </w:r>
          </w:p>
        </w:tc>
        <w:tc>
          <w:tcPr>
            <w:tcW w:type="dxa" w:w="2232"/>
            <w:vAlign w:val="center"/>
            <w:tcMar>
              <w:top w:w="70" w:type="dxa"/>
              <w:start w:w="90" w:type="dxa"/>
              <w:bottom w:w="70" w:type="dxa"/>
              <w:end w:w="90" w:type="dxa"/>
            </w:tcMar>
          </w:tcPr>
          <w:p>
            <w:pPr>
              <w:widowControl/>
              <w:spacing w:after="0" w:line="247" w:lineRule="auto"/>
            </w:pPr>
            <w:r/>
            <w:r>
              <w:rPr>
                <w:rFonts w:ascii="Aptos" w:hAnsi="Aptos"/>
                <w:b w:val="0"/>
                <w:color w:val="202B33"/>
                <w:sz w:val="14"/>
              </w:rPr>
              <w:t>Castelli II</w:t>
            </w:r>
          </w:p>
        </w:tc>
        <w:tc>
          <w:tcPr>
            <w:tcW w:type="dxa" w:w="4608"/>
            <w:vAlign w:val="center"/>
            <w:tcMar>
              <w:top w:w="70" w:type="dxa"/>
              <w:start w:w="90" w:type="dxa"/>
              <w:bottom w:w="70" w:type="dxa"/>
              <w:end w:w="90" w:type="dxa"/>
            </w:tcMar>
          </w:tcPr>
          <w:p>
            <w:pPr>
              <w:widowControl/>
              <w:spacing w:after="0" w:line="247" w:lineRule="auto"/>
            </w:pPr>
            <w:r/>
            <w:r>
              <w:rPr>
                <w:rFonts w:ascii="Aptos" w:hAnsi="Aptos"/>
                <w:b w:val="0"/>
                <w:color w:val="202B33"/>
                <w:sz w:val="14"/>
              </w:rPr>
              <w:t>LDL-C, HDL-C</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4"/>
              </w:rPr>
              <w:t>Supplementary</w:t>
            </w:r>
          </w:p>
        </w:tc>
      </w:tr>
      <w:tr>
        <w:trPr>
          <w:cantSplit/>
        </w:trPr>
        <w:tc>
          <w:tcPr>
            <w:tcW w:type="dxa" w:w="7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CV-08</w:t>
            </w:r>
          </w:p>
        </w:tc>
        <w:tc>
          <w:tcPr>
            <w:tcW w:type="dxa" w:w="22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Atherogenic coefficient</w:t>
            </w:r>
          </w:p>
        </w:tc>
        <w:tc>
          <w:tcPr>
            <w:tcW w:type="dxa" w:w="460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TC, HDL-C</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Optional / hidden</w:t>
            </w:r>
          </w:p>
        </w:tc>
      </w:tr>
      <w:tr>
        <w:trPr>
          <w:cantSplit/>
        </w:trPr>
        <w:tc>
          <w:tcPr>
            <w:tcW w:type="dxa" w:w="792"/>
            <w:vAlign w:val="center"/>
            <w:tcMar>
              <w:top w:w="70" w:type="dxa"/>
              <w:start w:w="90" w:type="dxa"/>
              <w:bottom w:w="70" w:type="dxa"/>
              <w:end w:w="90" w:type="dxa"/>
            </w:tcMar>
          </w:tcPr>
          <w:p>
            <w:pPr>
              <w:widowControl/>
              <w:spacing w:after="0" w:line="247" w:lineRule="auto"/>
            </w:pPr>
            <w:r/>
            <w:r>
              <w:rPr>
                <w:rFonts w:ascii="Aptos" w:hAnsi="Aptos"/>
                <w:b w:val="0"/>
                <w:color w:val="202B33"/>
                <w:sz w:val="14"/>
              </w:rPr>
              <w:t>CV-09</w:t>
            </w:r>
          </w:p>
        </w:tc>
        <w:tc>
          <w:tcPr>
            <w:tcW w:type="dxa" w:w="2232"/>
            <w:vAlign w:val="center"/>
            <w:tcMar>
              <w:top w:w="70" w:type="dxa"/>
              <w:start w:w="90" w:type="dxa"/>
              <w:bottom w:w="70" w:type="dxa"/>
              <w:end w:w="90" w:type="dxa"/>
            </w:tcMar>
          </w:tcPr>
          <w:p>
            <w:pPr>
              <w:widowControl/>
              <w:spacing w:after="0" w:line="247" w:lineRule="auto"/>
            </w:pPr>
            <w:r/>
            <w:r>
              <w:rPr>
                <w:rFonts w:ascii="Aptos" w:hAnsi="Aptos"/>
                <w:b w:val="0"/>
                <w:color w:val="202B33"/>
                <w:sz w:val="14"/>
              </w:rPr>
              <w:t>ApoB target</w:t>
            </w:r>
          </w:p>
        </w:tc>
        <w:tc>
          <w:tcPr>
            <w:tcW w:type="dxa" w:w="4608"/>
            <w:vAlign w:val="center"/>
            <w:tcMar>
              <w:top w:w="70" w:type="dxa"/>
              <w:start w:w="90" w:type="dxa"/>
              <w:bottom w:w="70" w:type="dxa"/>
              <w:end w:w="90" w:type="dxa"/>
            </w:tcMar>
          </w:tcPr>
          <w:p>
            <w:pPr>
              <w:widowControl/>
              <w:spacing w:after="0" w:line="247" w:lineRule="auto"/>
            </w:pPr>
            <w:r/>
            <w:r>
              <w:rPr>
                <w:rFonts w:ascii="Aptos" w:hAnsi="Aptos"/>
                <w:b w:val="0"/>
                <w:color w:val="202B33"/>
                <w:sz w:val="14"/>
              </w:rPr>
              <w:t>ApoB, global risk category</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4"/>
              </w:rPr>
              <w:t>Advanced core</w:t>
            </w:r>
          </w:p>
        </w:tc>
      </w:tr>
      <w:tr>
        <w:trPr>
          <w:cantSplit/>
        </w:trPr>
        <w:tc>
          <w:tcPr>
            <w:tcW w:type="dxa" w:w="7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CV-10</w:t>
            </w:r>
          </w:p>
        </w:tc>
        <w:tc>
          <w:tcPr>
            <w:tcW w:type="dxa" w:w="22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ApoB/ApoA-I</w:t>
            </w:r>
          </w:p>
        </w:tc>
        <w:tc>
          <w:tcPr>
            <w:tcW w:type="dxa" w:w="460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ApoB, ApoA-I</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Supplementary</w:t>
            </w:r>
          </w:p>
        </w:tc>
      </w:tr>
      <w:tr>
        <w:trPr>
          <w:cantSplit/>
        </w:trPr>
        <w:tc>
          <w:tcPr>
            <w:tcW w:type="dxa" w:w="792"/>
            <w:vAlign w:val="center"/>
            <w:tcMar>
              <w:top w:w="70" w:type="dxa"/>
              <w:start w:w="90" w:type="dxa"/>
              <w:bottom w:w="70" w:type="dxa"/>
              <w:end w:w="90" w:type="dxa"/>
            </w:tcMar>
          </w:tcPr>
          <w:p>
            <w:pPr>
              <w:widowControl/>
              <w:spacing w:after="0" w:line="247" w:lineRule="auto"/>
            </w:pPr>
            <w:r/>
            <w:r>
              <w:rPr>
                <w:rFonts w:ascii="Aptos" w:hAnsi="Aptos"/>
                <w:b w:val="0"/>
                <w:color w:val="202B33"/>
                <w:sz w:val="14"/>
              </w:rPr>
              <w:t>CV-11</w:t>
            </w:r>
          </w:p>
        </w:tc>
        <w:tc>
          <w:tcPr>
            <w:tcW w:type="dxa" w:w="2232"/>
            <w:vAlign w:val="center"/>
            <w:tcMar>
              <w:top w:w="70" w:type="dxa"/>
              <w:start w:w="90" w:type="dxa"/>
              <w:bottom w:w="70" w:type="dxa"/>
              <w:end w:w="90" w:type="dxa"/>
            </w:tcMar>
          </w:tcPr>
          <w:p>
            <w:pPr>
              <w:widowControl/>
              <w:spacing w:after="0" w:line="247" w:lineRule="auto"/>
            </w:pPr>
            <w:r/>
            <w:r>
              <w:rPr>
                <w:rFonts w:ascii="Aptos" w:hAnsi="Aptos"/>
                <w:b w:val="0"/>
                <w:color w:val="202B33"/>
                <w:sz w:val="14"/>
              </w:rPr>
              <w:t>Lp(a) modifier</w:t>
            </w:r>
          </w:p>
        </w:tc>
        <w:tc>
          <w:tcPr>
            <w:tcW w:type="dxa" w:w="4608"/>
            <w:vAlign w:val="center"/>
            <w:tcMar>
              <w:top w:w="70" w:type="dxa"/>
              <w:start w:w="90" w:type="dxa"/>
              <w:bottom w:w="70" w:type="dxa"/>
              <w:end w:w="90" w:type="dxa"/>
            </w:tcMar>
          </w:tcPr>
          <w:p>
            <w:pPr>
              <w:widowControl/>
              <w:spacing w:after="0" w:line="247" w:lineRule="auto"/>
            </w:pPr>
            <w:r/>
            <w:r>
              <w:rPr>
                <w:rFonts w:ascii="Aptos" w:hAnsi="Aptos"/>
                <w:b w:val="0"/>
                <w:color w:val="202B33"/>
                <w:sz w:val="14"/>
              </w:rPr>
              <w:t>Lp(a), native unit</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4"/>
              </w:rPr>
              <w:t>Advanced core</w:t>
            </w:r>
          </w:p>
        </w:tc>
      </w:tr>
      <w:tr>
        <w:trPr>
          <w:cantSplit/>
        </w:trPr>
        <w:tc>
          <w:tcPr>
            <w:tcW w:type="dxa" w:w="7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CV-12</w:t>
            </w:r>
          </w:p>
        </w:tc>
        <w:tc>
          <w:tcPr>
            <w:tcW w:type="dxa" w:w="22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Metabolic syndrome</w:t>
            </w:r>
          </w:p>
        </w:tc>
        <w:tc>
          <w:tcPr>
            <w:tcW w:type="dxa" w:w="460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Waist, TG, HDL-C, BP, glucose/treatment</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Integrated</w:t>
            </w:r>
          </w:p>
        </w:tc>
      </w:tr>
      <w:tr>
        <w:trPr>
          <w:cantSplit/>
        </w:trPr>
        <w:tc>
          <w:tcPr>
            <w:tcW w:type="dxa" w:w="792"/>
            <w:vAlign w:val="center"/>
            <w:tcMar>
              <w:top w:w="70" w:type="dxa"/>
              <w:start w:w="90" w:type="dxa"/>
              <w:bottom w:w="70" w:type="dxa"/>
              <w:end w:w="90" w:type="dxa"/>
            </w:tcMar>
          </w:tcPr>
          <w:p>
            <w:pPr>
              <w:widowControl/>
              <w:spacing w:after="0" w:line="247" w:lineRule="auto"/>
            </w:pPr>
            <w:r/>
            <w:r>
              <w:rPr>
                <w:rFonts w:ascii="Aptos" w:hAnsi="Aptos"/>
                <w:b w:val="0"/>
                <w:color w:val="202B33"/>
                <w:sz w:val="14"/>
              </w:rPr>
              <w:t>CV-13</w:t>
            </w:r>
          </w:p>
        </w:tc>
        <w:tc>
          <w:tcPr>
            <w:tcW w:type="dxa" w:w="2232"/>
            <w:vAlign w:val="center"/>
            <w:tcMar>
              <w:top w:w="70" w:type="dxa"/>
              <w:start w:w="90" w:type="dxa"/>
              <w:bottom w:w="70" w:type="dxa"/>
              <w:end w:w="90" w:type="dxa"/>
            </w:tcMar>
          </w:tcPr>
          <w:p>
            <w:pPr>
              <w:widowControl/>
              <w:spacing w:after="0" w:line="247" w:lineRule="auto"/>
            </w:pPr>
            <w:r/>
            <w:r>
              <w:rPr>
                <w:rFonts w:ascii="Aptos" w:hAnsi="Aptos"/>
                <w:b w:val="0"/>
                <w:color w:val="202B33"/>
                <w:sz w:val="14"/>
              </w:rPr>
              <w:t>FH trigger</w:t>
            </w:r>
          </w:p>
        </w:tc>
        <w:tc>
          <w:tcPr>
            <w:tcW w:type="dxa" w:w="4608"/>
            <w:vAlign w:val="center"/>
            <w:tcMar>
              <w:top w:w="70" w:type="dxa"/>
              <w:start w:w="90" w:type="dxa"/>
              <w:bottom w:w="70" w:type="dxa"/>
              <w:end w:w="90" w:type="dxa"/>
            </w:tcMar>
          </w:tcPr>
          <w:p>
            <w:pPr>
              <w:widowControl/>
              <w:spacing w:after="0" w:line="247" w:lineRule="auto"/>
            </w:pPr>
            <w:r/>
            <w:r>
              <w:rPr>
                <w:rFonts w:ascii="Aptos" w:hAnsi="Aptos"/>
                <w:b w:val="0"/>
                <w:color w:val="202B33"/>
                <w:sz w:val="14"/>
              </w:rPr>
              <w:t>LDL-C, personal/family history, signs</w:t>
            </w:r>
          </w:p>
        </w:tc>
        <w:tc>
          <w:tcPr>
            <w:tcW w:type="dxa" w:w="2304"/>
            <w:vAlign w:val="center"/>
            <w:tcMar>
              <w:top w:w="70" w:type="dxa"/>
              <w:start w:w="90" w:type="dxa"/>
              <w:bottom w:w="70" w:type="dxa"/>
              <w:end w:w="90" w:type="dxa"/>
            </w:tcMar>
          </w:tcPr>
          <w:p>
            <w:pPr>
              <w:widowControl/>
              <w:spacing w:after="0" w:line="247" w:lineRule="auto"/>
            </w:pPr>
            <w:r/>
            <w:r>
              <w:rPr>
                <w:rFonts w:ascii="Aptos" w:hAnsi="Aptos"/>
                <w:b w:val="0"/>
                <w:color w:val="202B33"/>
                <w:sz w:val="14"/>
              </w:rPr>
              <w:t>Referral trigger</w:t>
            </w:r>
          </w:p>
        </w:tc>
      </w:tr>
      <w:tr>
        <w:trPr>
          <w:cantSplit/>
        </w:trPr>
        <w:tc>
          <w:tcPr>
            <w:tcW w:type="dxa" w:w="79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CV-14</w:t>
            </w:r>
          </w:p>
        </w:tc>
        <w:tc>
          <w:tcPr>
            <w:tcW w:type="dxa" w:w="2232"/>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TG safety</w:t>
            </w:r>
          </w:p>
        </w:tc>
        <w:tc>
          <w:tcPr>
            <w:tcW w:type="dxa" w:w="4608"/>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TG, symptoms</w:t>
            </w:r>
          </w:p>
        </w:tc>
        <w:tc>
          <w:tcPr>
            <w:tcW w:type="dxa" w:w="2304"/>
            <w:vAlign w:val="center"/>
            <w:tcMar>
              <w:top w:w="70" w:type="dxa"/>
              <w:start w:w="90" w:type="dxa"/>
              <w:bottom w:w="70" w:type="dxa"/>
              <w:end w:w="90" w:type="dxa"/>
            </w:tcMar>
            <w:shd w:fill="F4F6F8"/>
          </w:tcPr>
          <w:p>
            <w:pPr>
              <w:widowControl/>
              <w:spacing w:after="0" w:line="247" w:lineRule="auto"/>
            </w:pPr>
            <w:r/>
            <w:r>
              <w:rPr>
                <w:rFonts w:ascii="Aptos" w:hAnsi="Aptos"/>
                <w:b w:val="0"/>
                <w:color w:val="202B33"/>
                <w:sz w:val="14"/>
              </w:rPr>
              <w:t>Safety</w:t>
            </w:r>
          </w:p>
        </w:tc>
      </w:tr>
    </w:tbl>
    <w:p>
      <w:pPr>
        <w:spacing w:after="20"/>
      </w:pPr>
    </w:p>
    <w:p>
      <w:pPr>
        <w:pStyle w:val="Heading1"/>
      </w:pPr>
      <w:r>
        <w:t>12. References and governance sources</w:t>
      </w:r>
    </w:p>
    <w:p>
      <w:pPr>
        <w:pStyle w:val="ListBullet"/>
        <w:spacing w:after="40"/>
      </w:pPr>
      <w:r>
        <w:t>Ministry of Health Malaysia. Management of Hypertension, 5th edition. 2018. https://www.moh.gov.my/en/publications-and-reports/policies-act-policies-guide-lines/penerbitan-klinikal/senarai-penerbitan-klinikal/panduan-amalan-klinikal-cpg</w:t>
      </w:r>
    </w:p>
    <w:p>
      <w:pPr>
        <w:pStyle w:val="ListBullet"/>
        <w:spacing w:after="40"/>
      </w:pPr>
      <w:r>
        <w:t>Ministry of Health Malaysia. Management of Type 2 Diabetes Mellitus, 6th edition. 2020. https://www.moh.gov.my/images/04-penerbitan/penerbitan-klinikal/panduan-amalan-klinikal/CPG_T2DM_6th_Edition_2020_13042021.pdf</w:t>
      </w:r>
    </w:p>
    <w:p>
      <w:pPr>
        <w:pStyle w:val="ListBullet"/>
        <w:spacing w:after="40"/>
      </w:pPr>
      <w:r>
        <w:t>D’Agostino RB Sr, et al. General cardiovascular risk profile for use in primary care: the Framingham Heart Study. Circulation. 2008;117:743-753.</w:t>
      </w:r>
    </w:p>
    <w:p>
      <w:pPr>
        <w:pStyle w:val="ListBullet"/>
        <w:spacing w:after="40"/>
      </w:pPr>
      <w:r>
        <w:t>European Society of Cardiology / European Atherosclerosis Society. Dyslipidaemia guidelines and 2025 focused update. https://www.escardio.org/guidelines/clinical-practice-guidelines/all-esc-practice-guidelines/dyslipidaemias/</w:t>
      </w:r>
    </w:p>
    <w:p>
      <w:pPr>
        <w:pStyle w:val="ListBullet"/>
        <w:spacing w:after="40"/>
      </w:pPr>
      <w:r>
        <w:t>Catapano AL, et al. ESC/EAS Guidelines for the Management of Dyslipidaemias. European Heart Journal. https://academic.oup.com/eurheartj/article/37/39/2999/2414995</w:t>
      </w:r>
    </w:p>
    <w:p>
      <w:pPr>
        <w:pStyle w:val="ListBullet"/>
        <w:spacing w:after="40"/>
      </w:pPr>
      <w:r>
        <w:t>KDIGO. Clinical Practice Guideline for the Evaluation and Management of Chronic Kidney Disease. 2024. https://www.kidney-international.org/article/S0085-2538(23)00766-4/fulltext</w:t>
      </w:r>
    </w:p>
    <w:p>
      <w:pPr>
        <w:pStyle w:val="ListBullet"/>
        <w:spacing w:after="40"/>
      </w:pPr>
      <w:r>
        <w:t>SQUARE clinical governance requirement: validate all adopted thresholds against current Malaysian guidance before production release.</w:t>
      </w:r>
    </w:p>
    <w:p>
      <w:pPr>
        <w:pStyle w:val="Heading2"/>
      </w:pPr>
      <w:r>
        <w:t>Approval checkpoint</w:t>
      </w:r>
    </w:p>
    <w:tbl>
      <w:tblPr>
        <w:tblW w:type="auto" w:w="0"/>
        <w:jc w:val="center"/>
        <w:tblLayout w:type="fixed"/>
        <w:tblLook w:firstColumn="1" w:firstRow="1" w:lastColumn="0" w:lastRow="0" w:noHBand="0" w:noVBand="1" w:val="04A0"/>
      </w:tblPr>
      <w:tblGrid>
        <w:gridCol w:w="9936"/>
      </w:tblGrid>
      <w:tr>
        <w:trPr>
          <w:cantSplit/>
        </w:trPr>
        <w:tc>
          <w:tcPr>
            <w:tcW w:type="dxa" w:w="9936"/>
            <w:shd w:fill="EAF2F7"/>
            <w:tcMar>
              <w:top w:w="110" w:type="dxa"/>
              <w:start w:w="140" w:type="dxa"/>
              <w:bottom w:w="110" w:type="dxa"/>
              <w:end w:w="140" w:type="dxa"/>
            </w:tcMar>
          </w:tcPr>
          <w:p>
            <w:pPr>
              <w:widowControl/>
              <w:spacing w:after="40"/>
            </w:pPr>
            <w:r/>
            <w:r>
              <w:rPr>
                <w:b/>
                <w:color w:val="17324D"/>
                <w:sz w:val="18"/>
              </w:rPr>
              <w:t>BEFORE PRODUCTION</w:t>
            </w:r>
          </w:p>
          <w:p>
            <w:pPr>
              <w:widowControl/>
              <w:spacing w:after="0" w:line="259" w:lineRule="auto"/>
            </w:pPr>
            <w:r>
              <w:rPr>
                <w:sz w:val="18"/>
              </w:rPr>
              <w:t>A Malaysian-registered medical practitioner should approve the exact FRS equation, lipid targets, ApoB goals, Lp(a) bands, AIP/Castelli wording, emergency routes and version-control process. Product copy must preserve SQUARE’s non-diagnostic role.</w:t>
            </w:r>
          </w:p>
        </w:tc>
      </w:tr>
    </w:tbl>
    <w:p>
      <w:pPr>
        <w:spacing w:after="20"/>
      </w:pP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C76"/>
        <w:sz w:val="16"/>
      </w:rPr>
      <w:t xml:space="preserve">SQUARE - Cardiovascular Domain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C76"/>
        <w:sz w:val="16"/>
      </w:rPr>
      <w:t>SQUARE  |  Clinical Logic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B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1618C"/>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67D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5E6C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pPr>
    <w:rPr>
      <w:rFonts w:ascii="Aptos" w:hAnsi="Aptos"/>
      <w:i/>
      <w:color w:val="5E6C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