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SQUARE 20-Screen Master Table</w:t>
      </w:r>
    </w:p>
    <w:p>
      <w:pPr>
        <w:pStyle w:val="Subtitle"/>
      </w:pPr>
      <w:r>
        <w:t>Purpose, point-form features, core functions and end-to-end user journey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95"/>
        <w:gridCol w:w="4795"/>
        <w:gridCol w:w="4810"/>
      </w:tblGrid>
      <w:tr>
        <w:tc>
          <w:tcPr>
            <w:tcW w:type="dxa" w:w="4795"/>
            <w:shd w:fill="EEF4FA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60"/>
            </w:pPr>
            <w:r>
              <w:rPr>
                <w:rFonts w:ascii="Aptos" w:hAnsi="Aptos"/>
                <w:b/>
                <w:color w:val="0798A5"/>
                <w:sz w:val="18"/>
              </w:rPr>
              <w:t>20 INTERCONNECTED SCREENS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02A5E"/>
                <w:sz w:val="17"/>
              </w:rPr>
              <w:t>From welcome and consent to analysis and long-term management</w:t>
            </w:r>
          </w:p>
        </w:tc>
        <w:tc>
          <w:tcPr>
            <w:tcW w:type="dxa" w:w="4795"/>
            <w:shd w:fill="EAF7F5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60"/>
            </w:pPr>
            <w:r>
              <w:rPr>
                <w:rFonts w:ascii="Aptos" w:hAnsi="Aptos"/>
                <w:b/>
                <w:color w:val="0798A5"/>
                <w:sz w:val="18"/>
              </w:rPr>
              <w:t>6 FUNCTIONAL GROUPS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02A5E"/>
                <w:sz w:val="17"/>
              </w:rPr>
              <w:t>Governance, dashboard, processing, interpretation, intervention and monitoring</w:t>
            </w:r>
          </w:p>
        </w:tc>
        <w:tc>
          <w:tcPr>
            <w:tcW w:type="dxa" w:w="4810"/>
            <w:shd w:fill="EEF4FA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60"/>
            </w:pPr>
            <w:r>
              <w:rPr>
                <w:rFonts w:ascii="Aptos" w:hAnsi="Aptos"/>
                <w:b/>
                <w:color w:val="0798A5"/>
                <w:sz w:val="18"/>
              </w:rPr>
              <w:t>1 CONTINUOUS JOURNEY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02A5E"/>
                <w:sz w:val="17"/>
              </w:rPr>
              <w:t>Upload, understand, act, follow up and improve</w:t>
            </w:r>
          </w:p>
        </w:tc>
      </w:tr>
    </w:tbl>
    <w:p>
      <w:pPr>
        <w:pStyle w:val="Heading1"/>
      </w:pPr>
      <w:r>
        <w:t>User Journey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3960" cy="23776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_user_journe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2377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/>
          <w:b w:val="0"/>
          <w:color w:val="53637C"/>
          <w:sz w:val="17"/>
        </w:rPr>
        <w:t>Figure 1. SQUARE user journey from access and consent to continuous monitoring.</w:t>
      </w:r>
    </w:p>
    <w:p>
      <w:pPr>
        <w:pStyle w:val="Heading2"/>
      </w:pPr>
      <w:r>
        <w:t>How to Read the Master Table</w:t>
      </w:r>
    </w:p>
    <w:p>
      <w:pPr>
        <w:pStyle w:val="ListBullet"/>
        <w:spacing w:after="40"/>
        <w:ind w:left="360" w:hanging="187"/>
      </w:pPr>
      <w:r>
        <w:rPr>
          <w:rFonts w:ascii="Aptos" w:hAnsi="Aptos"/>
          <w:b w:val="0"/>
          <w:color w:val="102A5E"/>
          <w:sz w:val="18"/>
        </w:rPr>
        <w:t>Purpose explains why the screen exists in the user journey.</w:t>
      </w:r>
    </w:p>
    <w:p>
      <w:pPr>
        <w:pStyle w:val="ListBullet"/>
        <w:spacing w:after="40"/>
        <w:ind w:left="360" w:hanging="187"/>
      </w:pPr>
      <w:r>
        <w:rPr>
          <w:rFonts w:ascii="Aptos" w:hAnsi="Aptos"/>
          <w:b w:val="0"/>
          <w:color w:val="102A5E"/>
          <w:sz w:val="18"/>
        </w:rPr>
        <w:t>Main features lists the essential interface components in point form.</w:t>
      </w:r>
    </w:p>
    <w:p>
      <w:pPr>
        <w:pStyle w:val="ListBullet"/>
        <w:spacing w:after="40"/>
        <w:ind w:left="360" w:hanging="187"/>
      </w:pPr>
      <w:r>
        <w:rPr>
          <w:rFonts w:ascii="Aptos" w:hAnsi="Aptos"/>
          <w:b w:val="0"/>
          <w:color w:val="102A5E"/>
          <w:sz w:val="18"/>
        </w:rPr>
        <w:t>Core function / output describes what the screen does or produces for the next stage.</w:t>
      </w:r>
    </w:p>
    <w:p>
      <w:r>
        <w:br w:type="page"/>
      </w:r>
    </w:p>
    <w:p>
      <w:pPr>
        <w:pStyle w:val="Heading1"/>
      </w:pPr>
      <w:r>
        <w:t>Master Table: All 20 Screens</w:t>
      </w:r>
    </w:p>
    <w:p>
      <w:pPr>
        <w:spacing w:after="160"/>
      </w:pPr>
      <w:r>
        <w:t>Each row defines the minimum essential role of one screen. Features may be progressively released while preserving the complete journey logic.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  <w:tblInd w:w="120" w:type="dxa"/>
      </w:tblPr>
      <w:tblGrid>
        <w:gridCol w:w="547"/>
        <w:gridCol w:w="2045"/>
        <w:gridCol w:w="3096"/>
        <w:gridCol w:w="5112"/>
        <w:gridCol w:w="3600"/>
      </w:tblGrid>
      <w:tr>
        <w:trPr>
          <w:tblHeader w:val="true"/>
        </w:trPr>
        <w:tc>
          <w:tcPr>
            <w:tcW w:type="dxa" w:w="547"/>
            <w:shd w:fill="102A5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045"/>
            <w:shd w:fill="102A5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3096"/>
            <w:shd w:fill="102A5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5112"/>
            <w:shd w:fill="102A5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Main Features</w:t>
            </w:r>
          </w:p>
        </w:tc>
        <w:tc>
          <w:tcPr>
            <w:tcW w:type="dxa" w:w="3600"/>
            <w:shd w:fill="102A5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Core Function / Output</w:t>
            </w:r>
          </w:p>
        </w:tc>
      </w:tr>
      <w:tr>
        <w:trPr>
          <w:cantSplit/>
        </w:trPr>
        <w:tc>
          <w:tcPr>
            <w:tcW w:type="dxa" w:w="547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1</w:t>
            </w:r>
          </w:p>
        </w:tc>
        <w:tc>
          <w:tcPr>
            <w:tcW w:type="dxa" w:w="2045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Welcome Homepage</w:t>
            </w:r>
          </w:p>
        </w:tc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Introduce SQUARE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Explain the core health journey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Guide new and returning users</w:t>
            </w:r>
          </w:p>
        </w:tc>
        <w:tc>
          <w:tcPr>
            <w:tcW w:type="dxa" w:w="5112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Brand and service overview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Upload - Understand - Act - Follow Up pathway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Register and Log In buttons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Privacy and safety messaging</w:t>
            </w:r>
          </w:p>
        </w:tc>
        <w:tc>
          <w:tcPr>
            <w:tcW w:type="dxa" w:w="3600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Routes users to registration or login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Establishes trust and platform expectations</w:t>
            </w:r>
          </w:p>
        </w:tc>
      </w:tr>
      <w:tr>
        <w:trPr>
          <w:cantSplit/>
        </w:trPr>
        <w:tc>
          <w:tcPr>
            <w:tcW w:type="dxa" w:w="547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2</w:t>
            </w:r>
          </w:p>
        </w:tc>
        <w:tc>
          <w:tcPr>
            <w:tcW w:type="dxa" w:w="2045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Registration Page</w:t>
            </w:r>
          </w:p>
        </w:tc>
        <w:tc>
          <w:tcPr>
            <w:tcW w:type="dxa" w:w="3096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Create a secure account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Keep initial registration short</w:t>
            </w:r>
          </w:p>
        </w:tc>
        <w:tc>
          <w:tcPr>
            <w:tcW w:type="dxa" w:w="5112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Name and contact details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Password creation and confirmation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Basic eligibility confirmation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Links to Terms, Privacy and Consent</w:t>
            </w:r>
          </w:p>
        </w:tc>
        <w:tc>
          <w:tcPr>
            <w:tcW w:type="dxa" w:w="3600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Creates the user account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Defers detailed health questions until needed</w:t>
            </w:r>
          </w:p>
        </w:tc>
      </w:tr>
      <w:tr>
        <w:trPr>
          <w:cantSplit/>
        </w:trPr>
        <w:tc>
          <w:tcPr>
            <w:tcW w:type="dxa" w:w="547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3</w:t>
            </w:r>
          </w:p>
        </w:tc>
        <w:tc>
          <w:tcPr>
            <w:tcW w:type="dxa" w:w="2045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Log In Page</w:t>
            </w:r>
          </w:p>
        </w:tc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Provide secure account access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Support account recovery</w:t>
            </w:r>
          </w:p>
        </w:tc>
        <w:tc>
          <w:tcPr>
            <w:tcW w:type="dxa" w:w="5112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Email or mobile login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Password visibility control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Remember device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Forgotten-password recovery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Future multifactor authentication</w:t>
            </w:r>
          </w:p>
        </w:tc>
        <w:tc>
          <w:tcPr>
            <w:tcW w:type="dxa" w:w="3600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Authenticates the user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Opens the personalised dashboard</w:t>
            </w:r>
          </w:p>
        </w:tc>
      </w:tr>
      <w:tr>
        <w:trPr>
          <w:cantSplit/>
        </w:trPr>
        <w:tc>
          <w:tcPr>
            <w:tcW w:type="dxa" w:w="547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4</w:t>
            </w:r>
          </w:p>
        </w:tc>
        <w:tc>
          <w:tcPr>
            <w:tcW w:type="dxa" w:w="2045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Terms and Conditions</w:t>
            </w:r>
          </w:p>
        </w:tc>
        <w:tc>
          <w:tcPr>
            <w:tcW w:type="dxa" w:w="3096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Explain legal rules of platform use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Record user acceptance</w:t>
            </w:r>
          </w:p>
        </w:tc>
        <w:tc>
          <w:tcPr>
            <w:tcW w:type="dxa" w:w="5112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Readable section navigation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Version and effective date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Download option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Acceptance checkbox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Privacy Notice link</w:t>
            </w:r>
          </w:p>
        </w:tc>
        <w:tc>
          <w:tcPr>
            <w:tcW w:type="dxa" w:w="3600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Stores accepted version, date and time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Provides an auditable legal record</w:t>
            </w:r>
          </w:p>
        </w:tc>
      </w:tr>
      <w:tr>
        <w:trPr>
          <w:cantSplit/>
        </w:trPr>
        <w:tc>
          <w:tcPr>
            <w:tcW w:type="dxa" w:w="547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5</w:t>
            </w:r>
          </w:p>
        </w:tc>
        <w:tc>
          <w:tcPr>
            <w:tcW w:type="dxa" w:w="2045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Consent Page</w:t>
            </w:r>
          </w:p>
        </w:tc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Obtain informed data-processing permission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Separate required and optional consent</w:t>
            </w:r>
          </w:p>
        </w:tc>
        <w:tc>
          <w:tcPr>
            <w:tcW w:type="dxa" w:w="5112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Required service consent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Optional research participation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Communication preferences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Withdrawal information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Consent history</w:t>
            </w:r>
          </w:p>
        </w:tc>
        <w:tc>
          <w:tcPr>
            <w:tcW w:type="dxa" w:w="3600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Activates permitted data use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Keeps research participation voluntary</w:t>
            </w:r>
          </w:p>
        </w:tc>
      </w:tr>
      <w:tr>
        <w:trPr>
          <w:cantSplit/>
        </w:trPr>
        <w:tc>
          <w:tcPr>
            <w:tcW w:type="dxa" w:w="547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6</w:t>
            </w:r>
          </w:p>
        </w:tc>
        <w:tc>
          <w:tcPr>
            <w:tcW w:type="dxa" w:w="2045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Personalised Health Dashboard</w:t>
            </w:r>
          </w:p>
        </w:tc>
        <w:tc>
          <w:tcPr>
            <w:tcW w:type="dxa" w:w="3096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Provide the central health overview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Connect all platform functions</w:t>
            </w:r>
          </w:p>
        </w:tc>
        <w:tc>
          <w:tcPr>
            <w:tcW w:type="dxa" w:w="5112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General health summary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Priority recommendations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Anthropometric compartment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Anatomical domain map with organ status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Upload, reports, trends, referrals and settings shortcuts</w:t>
            </w:r>
          </w:p>
        </w:tc>
        <w:tc>
          <w:tcPr>
            <w:tcW w:type="dxa" w:w="3600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Acts as the main navigation hub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Shows current status and next actions</w:t>
            </w:r>
          </w:p>
        </w:tc>
      </w:tr>
      <w:tr>
        <w:trPr>
          <w:cantSplit/>
        </w:trPr>
        <w:tc>
          <w:tcPr>
            <w:tcW w:type="dxa" w:w="547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7</w:t>
            </w:r>
          </w:p>
        </w:tc>
        <w:tc>
          <w:tcPr>
            <w:tcW w:type="dxa" w:w="2045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Upload Blood Report</w:t>
            </w:r>
          </w:p>
        </w:tc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Collect laboratory reports securely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Prepare files for extraction</w:t>
            </w:r>
          </w:p>
        </w:tc>
        <w:tc>
          <w:tcPr>
            <w:tcW w:type="dxa" w:w="5112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PDF, JPG and PNG upload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Camera capture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Laboratory, date and report type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File-quality checklist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Manual-entry fallback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Recent reports</w:t>
            </w:r>
          </w:p>
        </w:tc>
        <w:tc>
          <w:tcPr>
            <w:tcW w:type="dxa" w:w="3600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Stores the original report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Starts extraction after validation</w:t>
            </w:r>
          </w:p>
        </w:tc>
      </w:tr>
      <w:tr>
        <w:trPr>
          <w:cantSplit/>
        </w:trPr>
        <w:tc>
          <w:tcPr>
            <w:tcW w:type="dxa" w:w="547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8</w:t>
            </w:r>
          </w:p>
        </w:tc>
        <w:tc>
          <w:tcPr>
            <w:tcW w:type="dxa" w:w="2045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Report Recognition and Verification</w:t>
            </w:r>
          </w:p>
        </w:tc>
        <w:tc>
          <w:tcPr>
            <w:tcW w:type="dxa" w:w="3096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Confirm extracted laboratory data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Prevent scan and formatting errors</w:t>
            </w:r>
          </w:p>
        </w:tc>
        <w:tc>
          <w:tcPr>
            <w:tcW w:type="dxa" w:w="5112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Original report preview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Editable values, units and ranges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Confidence indicators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Uncertain-field flags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Verification confirmation</w:t>
            </w:r>
          </w:p>
        </w:tc>
        <w:tc>
          <w:tcPr>
            <w:tcW w:type="dxa" w:w="3600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Creates a user-confirmed structured dataset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Preserves traceability to the original report</w:t>
            </w:r>
          </w:p>
        </w:tc>
      </w:tr>
      <w:tr>
        <w:trPr>
          <w:cantSplit/>
        </w:trPr>
        <w:tc>
          <w:tcPr>
            <w:tcW w:type="dxa" w:w="547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9</w:t>
            </w:r>
          </w:p>
        </w:tc>
        <w:tc>
          <w:tcPr>
            <w:tcW w:type="dxa" w:w="2045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Triggered Health Questionnaire</w:t>
            </w:r>
          </w:p>
        </w:tc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Collect relevant health context only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Avoid an unnecessarily long questionnaire</w:t>
            </w:r>
          </w:p>
        </w:tc>
        <w:tc>
          <w:tcPr>
            <w:tcW w:type="dxa" w:w="5112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Adaptive question logic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Section progress and time estimate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Autosave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Why we ask this explanations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Not sure and Prefer not to answer options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Automatic skipping</w:t>
            </w:r>
          </w:p>
        </w:tc>
        <w:tc>
          <w:tcPr>
            <w:tcW w:type="dxa" w:w="3600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Adds context for risk and safety assessment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Personalises interpretation and advice</w:t>
            </w:r>
          </w:p>
        </w:tc>
      </w:tr>
      <w:tr>
        <w:trPr>
          <w:cantSplit/>
        </w:trPr>
        <w:tc>
          <w:tcPr>
            <w:tcW w:type="dxa" w:w="547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10</w:t>
            </w:r>
          </w:p>
        </w:tc>
        <w:tc>
          <w:tcPr>
            <w:tcW w:type="dxa" w:w="2045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Analysis Processing</w:t>
            </w:r>
          </w:p>
        </w:tc>
        <w:tc>
          <w:tcPr>
            <w:tcW w:type="dxa" w:w="3096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Show transparent analysis progress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Explain what the platform is checking</w:t>
            </w:r>
          </w:p>
        </w:tc>
        <w:tc>
          <w:tcPr>
            <w:tcW w:type="dxa" w:w="5112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Data validation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Unit and reference-range alignment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Health-domain assessment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Safety screening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Recommendation generation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Completion notification</w:t>
            </w:r>
          </w:p>
        </w:tc>
        <w:tc>
          <w:tcPr>
            <w:tcW w:type="dxa" w:w="3600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Combines verified results, profile and answers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Produces structured analysis outputs</w:t>
            </w:r>
          </w:p>
        </w:tc>
      </w:tr>
      <w:tr>
        <w:trPr>
          <w:cantSplit/>
        </w:trPr>
        <w:tc>
          <w:tcPr>
            <w:tcW w:type="dxa" w:w="547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11</w:t>
            </w:r>
          </w:p>
        </w:tc>
        <w:tc>
          <w:tcPr>
            <w:tcW w:type="dxa" w:w="2045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Health Analysis Summary</w:t>
            </w:r>
          </w:p>
        </w:tc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Present the most important findings first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Avoid overwhelming the user</w:t>
            </w:r>
          </w:p>
        </w:tc>
        <w:tc>
          <w:tcPr>
            <w:tcW w:type="dxa" w:w="5112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General health comment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Findings needing attention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Safety priority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Domain-status overview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Top three actions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Referral and download controls</w:t>
            </w:r>
          </w:p>
        </w:tc>
        <w:tc>
          <w:tcPr>
            <w:tcW w:type="dxa" w:w="3600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Produces the executive health summary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Directs users to details or action</w:t>
            </w:r>
          </w:p>
        </w:tc>
      </w:tr>
      <w:tr>
        <w:trPr>
          <w:cantSplit/>
        </w:trPr>
        <w:tc>
          <w:tcPr>
            <w:tcW w:type="dxa" w:w="547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12</w:t>
            </w:r>
          </w:p>
        </w:tc>
        <w:tc>
          <w:tcPr>
            <w:tcW w:type="dxa" w:w="2045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Detailed Blood Results Interpretation</w:t>
            </w:r>
          </w:p>
        </w:tc>
        <w:tc>
          <w:tcPr>
            <w:tcW w:type="dxa" w:w="3096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Explain individual laboratory markers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Connect values with understandable next steps</w:t>
            </w:r>
          </w:p>
        </w:tc>
        <w:tc>
          <w:tcPr>
            <w:tcW w:type="dxa" w:w="5112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Search and filters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Value, unit and laboratory range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Visual range position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Result trend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Plain-language meaning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Influencing factors and suggested actions</w:t>
            </w:r>
          </w:p>
        </w:tc>
        <w:tc>
          <w:tcPr>
            <w:tcW w:type="dxa" w:w="3600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Generates educational marker interpretations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Avoids presenting results as a diagnosis</w:t>
            </w:r>
          </w:p>
        </w:tc>
      </w:tr>
      <w:tr>
        <w:trPr>
          <w:cantSplit/>
        </w:trPr>
        <w:tc>
          <w:tcPr>
            <w:tcW w:type="dxa" w:w="547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13</w:t>
            </w:r>
          </w:p>
        </w:tc>
        <w:tc>
          <w:tcPr>
            <w:tcW w:type="dxa" w:w="2045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Health Domain Details</w:t>
            </w:r>
          </w:p>
        </w:tc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Integrate related health information by domain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Show interactions between risk factors</w:t>
            </w:r>
          </w:p>
        </w:tc>
        <w:tc>
          <w:tcPr>
            <w:tcW w:type="dxa" w:w="5112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Cardiovascular, metabolic, liver, renal, haematology and anthropometric tabs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Relevant laboratory and profile factors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Protective factors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Factors to improve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Calculator eligibility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Domain-specific actions</w:t>
            </w:r>
          </w:p>
        </w:tc>
        <w:tc>
          <w:tcPr>
            <w:tcW w:type="dxa" w:w="3600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Produces an integrated domain interpretation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Prevents isolated marker comments from losing context</w:t>
            </w:r>
          </w:p>
        </w:tc>
      </w:tr>
      <w:tr>
        <w:trPr>
          <w:cantSplit/>
        </w:trPr>
        <w:tc>
          <w:tcPr>
            <w:tcW w:type="dxa" w:w="547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14</w:t>
            </w:r>
          </w:p>
        </w:tc>
        <w:tc>
          <w:tcPr>
            <w:tcW w:type="dxa" w:w="2045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Personalised Health Action Plan</w:t>
            </w:r>
          </w:p>
        </w:tc>
        <w:tc>
          <w:tcPr>
            <w:tcW w:type="dxa" w:w="3096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Convert findings into practical actions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Keep the initial plan manageable</w:t>
            </w:r>
          </w:p>
        </w:tc>
        <w:tc>
          <w:tcPr>
            <w:tcW w:type="dxa" w:w="5112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Three priority actions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Adjustable targets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Schedules and reminders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Completion tracking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Why this helps explanations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Later recommendations</w:t>
            </w:r>
          </w:p>
        </w:tc>
        <w:tc>
          <w:tcPr>
            <w:tcW w:type="dxa" w:w="3600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Creates a trackable wellness plan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Supports gradual behaviour change and follow-up</w:t>
            </w:r>
          </w:p>
        </w:tc>
      </w:tr>
      <w:tr>
        <w:trPr>
          <w:cantSplit/>
        </w:trPr>
        <w:tc>
          <w:tcPr>
            <w:tcW w:type="dxa" w:w="547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15</w:t>
            </w:r>
          </w:p>
        </w:tc>
        <w:tc>
          <w:tcPr>
            <w:tcW w:type="dxa" w:w="2045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Referral and Safety Guidance</w:t>
            </w:r>
          </w:p>
        </w:tc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Identify the appropriate level of care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Separate referral from wellness advice</w:t>
            </w:r>
          </w:p>
        </w:tc>
        <w:tc>
          <w:tcPr>
            <w:tcW w:type="dxa" w:w="5112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Emergency, prompt, routine and self-management pathways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Referral reason and timeframe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Recommended service type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Visit preparation checklist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Symptom-based safety guidance</w:t>
            </w:r>
          </w:p>
        </w:tc>
        <w:tc>
          <w:tcPr>
            <w:tcW w:type="dxa" w:w="3600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Generates clear referral guidance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Escalates care without claiming a diagnosis</w:t>
            </w:r>
          </w:p>
        </w:tc>
      </w:tr>
      <w:tr>
        <w:trPr>
          <w:cantSplit/>
        </w:trPr>
        <w:tc>
          <w:tcPr>
            <w:tcW w:type="dxa" w:w="547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16</w:t>
            </w:r>
          </w:p>
        </w:tc>
        <w:tc>
          <w:tcPr>
            <w:tcW w:type="dxa" w:w="2045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Full Health Report Preview</w:t>
            </w:r>
          </w:p>
        </w:tc>
        <w:tc>
          <w:tcPr>
            <w:tcW w:type="dxa" w:w="3096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Review and customise the generated report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Control downloading and sharing</w:t>
            </w:r>
          </w:p>
        </w:tc>
        <w:tc>
          <w:tcPr>
            <w:tcW w:type="dxa" w:w="5112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Page and section preview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Section inclusion controls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PDF download and printing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Password protection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Recipient and access expiry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Sharing management</w:t>
            </w:r>
          </w:p>
        </w:tc>
        <w:tc>
          <w:tcPr>
            <w:tcW w:type="dxa" w:w="3600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Produces a portable health report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Keeps disclosure under user control</w:t>
            </w:r>
          </w:p>
        </w:tc>
      </w:tr>
      <w:tr>
        <w:trPr>
          <w:cantSplit/>
        </w:trPr>
        <w:tc>
          <w:tcPr>
            <w:tcW w:type="dxa" w:w="547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17</w:t>
            </w:r>
          </w:p>
        </w:tc>
        <w:tc>
          <w:tcPr>
            <w:tcW w:type="dxa" w:w="2045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Health Trends and Progress Tracking</w:t>
            </w:r>
          </w:p>
        </w:tc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Monitor changes over time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Assess data comparability</w:t>
            </w:r>
          </w:p>
        </w:tc>
        <w:tc>
          <w:tcPr>
            <w:tcW w:type="dxa" w:w="5112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Laboratory marker charts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Blood-pressure trends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Weight and BMI trends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Domain trends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Action-plan completion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Unit, range and fasting-status checks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Health timeline</w:t>
            </w:r>
          </w:p>
        </w:tc>
        <w:tc>
          <w:tcPr>
            <w:tcW w:type="dxa" w:w="3600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Supports longitudinal monitoring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Flags comparisons that may be unreliable</w:t>
            </w:r>
          </w:p>
        </w:tc>
      </w:tr>
      <w:tr>
        <w:trPr>
          <w:cantSplit/>
        </w:trPr>
        <w:tc>
          <w:tcPr>
            <w:tcW w:type="dxa" w:w="547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18</w:t>
            </w:r>
          </w:p>
        </w:tc>
        <w:tc>
          <w:tcPr>
            <w:tcW w:type="dxa" w:w="2045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Profile and Health Information</w:t>
            </w:r>
          </w:p>
        </w:tc>
        <w:tc>
          <w:tcPr>
            <w:tcW w:type="dxa" w:w="3096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Maintain health context for future analyses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Request only missing or outdated information</w:t>
            </w:r>
          </w:p>
        </w:tc>
        <w:tc>
          <w:tcPr>
            <w:tcW w:type="dxa" w:w="5112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Personal details and anthropometrics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Medical, medication and family history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Lifestyle information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Self-reported, device-measured and report-extracted labels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Quality checks and reminders</w:t>
            </w:r>
          </w:p>
        </w:tc>
        <w:tc>
          <w:tcPr>
            <w:tcW w:type="dxa" w:w="3600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Maintains the current health profile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Leaves previously generated reports unchanged</w:t>
            </w:r>
          </w:p>
        </w:tc>
      </w:tr>
      <w:tr>
        <w:trPr>
          <w:cantSplit/>
        </w:trPr>
        <w:tc>
          <w:tcPr>
            <w:tcW w:type="dxa" w:w="547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19</w:t>
            </w:r>
          </w:p>
        </w:tc>
        <w:tc>
          <w:tcPr>
            <w:tcW w:type="dxa" w:w="2045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Reports Library and Management</w:t>
            </w:r>
          </w:p>
        </w:tc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Store and organise reports and analyses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Preserve source-to-analysis traceability</w:t>
            </w:r>
          </w:p>
        </w:tc>
        <w:tc>
          <w:tcPr>
            <w:tcW w:type="dxa" w:w="5112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Search and filters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Original and generated file separation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Drafts and statuses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Comparison and downloads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Version history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Sharing access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Archive and delete controls</w:t>
            </w:r>
          </w:p>
        </w:tc>
        <w:tc>
          <w:tcPr>
            <w:tcW w:type="dxa" w:w="3600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Provides long-term report management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Maintains versions and access status</w:t>
            </w:r>
          </w:p>
        </w:tc>
      </w:tr>
      <w:tr>
        <w:trPr>
          <w:cantSplit/>
        </w:trPr>
        <w:tc>
          <w:tcPr>
            <w:tcW w:type="dxa" w:w="547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798A5"/>
                <w:sz w:val="16"/>
              </w:rPr>
              <w:t>20</w:t>
            </w:r>
          </w:p>
        </w:tc>
        <w:tc>
          <w:tcPr>
            <w:tcW w:type="dxa" w:w="2045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5E"/>
                <w:sz w:val="17"/>
              </w:rPr>
              <w:t>Settings, Privacy and Logout</w:t>
            </w:r>
          </w:p>
        </w:tc>
        <w:tc>
          <w:tcPr>
            <w:tcW w:type="dxa" w:w="3096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Manage preferences, rights and account access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Keep privacy choices visible</w:t>
            </w:r>
          </w:p>
        </w:tc>
        <w:tc>
          <w:tcPr>
            <w:tcW w:type="dxa" w:w="5112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Account, notifications and security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Language and accessibility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Consent and optional research controls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Data download and retention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Devices and sharing access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Support, logout and protected deletion</w:t>
            </w:r>
          </w:p>
        </w:tc>
        <w:tc>
          <w:tcPr>
            <w:tcW w:type="dxa" w:w="3600"/>
            <w:shd w:fill="F6F8FB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6"/>
              </w:rPr>
              <w:t>Applies account and privacy preferences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6"/>
              </w:rPr>
              <w:t>Allows withdrawal, export, logout and controlled deletion</w:t>
            </w:r>
          </w:p>
        </w:tc>
      </w:tr>
    </w:tbl>
    <w:p>
      <w:r>
        <w:br w:type="page"/>
      </w:r>
    </w:p>
    <w:p>
      <w:pPr>
        <w:pStyle w:val="Heading1"/>
      </w:pPr>
      <w:r>
        <w:t>Essential Functional Groups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  <w:tblInd w:w="120" w:type="dxa"/>
      </w:tblPr>
      <w:tblGrid>
        <w:gridCol w:w="3168"/>
        <w:gridCol w:w="1296"/>
        <w:gridCol w:w="9936"/>
      </w:tblGrid>
      <w:tr>
        <w:trPr>
          <w:tblHeader w:val="true"/>
        </w:trPr>
        <w:tc>
          <w:tcPr>
            <w:tcW w:type="dxa" w:w="3168"/>
            <w:shd w:fill="102A5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Functional Group</w:t>
            </w:r>
          </w:p>
        </w:tc>
        <w:tc>
          <w:tcPr>
            <w:tcW w:type="dxa" w:w="1296"/>
            <w:shd w:fill="102A5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Screens</w:t>
            </w:r>
          </w:p>
        </w:tc>
        <w:tc>
          <w:tcPr>
            <w:tcW w:type="dxa" w:w="9936"/>
            <w:shd w:fill="102A5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Platform Role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102A5E"/>
                <w:sz w:val="18"/>
              </w:rPr>
              <w:t>Access and Governance</w:t>
            </w:r>
          </w:p>
        </w:tc>
        <w:tc>
          <w:tcPr>
            <w:tcW w:type="dxa" w:w="12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798A5"/>
                <w:sz w:val="18"/>
              </w:rPr>
              <w:t>1-5</w:t>
            </w:r>
          </w:p>
        </w:tc>
        <w:tc>
          <w:tcPr>
            <w:tcW w:type="dxa" w:w="99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7"/>
              </w:rPr>
              <w:t>Introduce the platform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7"/>
              </w:rPr>
              <w:t>Create the account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7"/>
              </w:rPr>
              <w:t>Establish legal and consent permissions</w:t>
            </w:r>
          </w:p>
        </w:tc>
      </w:tr>
      <w:tr>
        <w:trPr>
          <w:cantSplit/>
        </w:trPr>
        <w:tc>
          <w:tcPr>
            <w:tcW w:type="dxa" w:w="316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102A5E"/>
                <w:sz w:val="18"/>
              </w:rPr>
              <w:t>User Control Centre</w:t>
            </w:r>
          </w:p>
        </w:tc>
        <w:tc>
          <w:tcPr>
            <w:tcW w:type="dxa" w:w="1296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798A5"/>
                <w:sz w:val="18"/>
              </w:rPr>
              <w:t>6</w:t>
            </w:r>
          </w:p>
        </w:tc>
        <w:tc>
          <w:tcPr>
            <w:tcW w:type="dxa" w:w="9936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7"/>
              </w:rPr>
              <w:t>Provide the central dashboard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7"/>
              </w:rPr>
              <w:t>Connect the complete user journey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102A5E"/>
                <w:sz w:val="18"/>
              </w:rPr>
              <w:t>Data Acquisition and Processing</w:t>
            </w:r>
          </w:p>
        </w:tc>
        <w:tc>
          <w:tcPr>
            <w:tcW w:type="dxa" w:w="12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798A5"/>
                <w:sz w:val="18"/>
              </w:rPr>
              <w:t>7-10</w:t>
            </w:r>
          </w:p>
        </w:tc>
        <w:tc>
          <w:tcPr>
            <w:tcW w:type="dxa" w:w="99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7"/>
              </w:rPr>
              <w:t>Upload and verify data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7"/>
              </w:rPr>
              <w:t>Collect triggered context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7"/>
              </w:rPr>
              <w:t>Run structured analysis</w:t>
            </w:r>
          </w:p>
        </w:tc>
      </w:tr>
      <w:tr>
        <w:trPr>
          <w:cantSplit/>
        </w:trPr>
        <w:tc>
          <w:tcPr>
            <w:tcW w:type="dxa" w:w="316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102A5E"/>
                <w:sz w:val="18"/>
              </w:rPr>
              <w:t>Health Interpretation</w:t>
            </w:r>
          </w:p>
        </w:tc>
        <w:tc>
          <w:tcPr>
            <w:tcW w:type="dxa" w:w="1296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798A5"/>
                <w:sz w:val="18"/>
              </w:rPr>
              <w:t>11-13</w:t>
            </w:r>
          </w:p>
        </w:tc>
        <w:tc>
          <w:tcPr>
            <w:tcW w:type="dxa" w:w="9936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7"/>
              </w:rPr>
              <w:t>Summarise findings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7"/>
              </w:rPr>
              <w:t>Explain individual markers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7"/>
              </w:rPr>
              <w:t>Integrate health domains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102A5E"/>
                <w:sz w:val="18"/>
              </w:rPr>
              <w:t>Intervention and Escalation</w:t>
            </w:r>
          </w:p>
        </w:tc>
        <w:tc>
          <w:tcPr>
            <w:tcW w:type="dxa" w:w="12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798A5"/>
                <w:sz w:val="18"/>
              </w:rPr>
              <w:t>14-16</w:t>
            </w:r>
          </w:p>
        </w:tc>
        <w:tc>
          <w:tcPr>
            <w:tcW w:type="dxa" w:w="99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7"/>
              </w:rPr>
              <w:t>Create the action plan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7"/>
              </w:rPr>
              <w:t>Guide referral and safety decisions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7"/>
              </w:rPr>
              <w:t>Generate the full report</w:t>
            </w:r>
          </w:p>
        </w:tc>
      </w:tr>
      <w:tr>
        <w:trPr>
          <w:cantSplit/>
        </w:trPr>
        <w:tc>
          <w:tcPr>
            <w:tcW w:type="dxa" w:w="316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102A5E"/>
                <w:sz w:val="18"/>
              </w:rPr>
              <w:t>Longitudinal Management</w:t>
            </w:r>
          </w:p>
        </w:tc>
        <w:tc>
          <w:tcPr>
            <w:tcW w:type="dxa" w:w="1296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798A5"/>
                <w:sz w:val="18"/>
              </w:rPr>
              <w:t>17-20</w:t>
            </w:r>
          </w:p>
        </w:tc>
        <w:tc>
          <w:tcPr>
            <w:tcW w:type="dxa" w:w="9936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ListBullet"/>
              <w:spacing w:before="0" w:after="30" w:line="252" w:lineRule="auto"/>
              <w:ind w:left="245" w:hanging="144"/>
            </w:pPr>
            <w:r/>
            <w:r>
              <w:rPr>
                <w:rFonts w:ascii="Aptos" w:hAnsi="Aptos"/>
                <w:b w:val="0"/>
                <w:color w:val="102A5E"/>
                <w:sz w:val="17"/>
              </w:rPr>
              <w:t>Track progress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7"/>
              </w:rPr>
              <w:t>Maintain profile data</w:t>
            </w:r>
          </w:p>
          <w:p>
            <w:pPr>
              <w:pStyle w:val="ListBullet"/>
              <w:spacing w:before="0" w:after="30" w:line="252" w:lineRule="auto"/>
              <w:ind w:left="245" w:hanging="144"/>
            </w:pPr>
            <w:r>
              <w:rPr>
                <w:rFonts w:ascii="Aptos" w:hAnsi="Aptos"/>
                <w:b w:val="0"/>
                <w:color w:val="102A5E"/>
                <w:sz w:val="17"/>
              </w:rPr>
              <w:t>Manage reports, privacy and account settings</w:t>
            </w:r>
          </w:p>
        </w:tc>
      </w:tr>
    </w:tbl>
    <w:p>
      <w:pPr>
        <w:pStyle w:val="Heading1"/>
      </w:pPr>
      <w:r>
        <w:t>Core Journey Logic</w:t>
      </w:r>
    </w:p>
    <w:p>
      <w:pPr>
        <w:keepLines/>
        <w:spacing w:after="60"/>
      </w:pPr>
      <w:r>
        <w:rPr>
          <w:rFonts w:ascii="Aptos" w:hAnsi="Aptos"/>
          <w:b/>
          <w:color w:val="0798A5"/>
          <w:sz w:val="18"/>
        </w:rPr>
        <w:t xml:space="preserve">1. Access and permission: </w:t>
      </w:r>
      <w:r>
        <w:rPr>
          <w:rFonts w:ascii="Aptos" w:hAnsi="Aptos"/>
          <w:b w:val="0"/>
          <w:color w:val="102A5E"/>
          <w:sz w:val="18"/>
        </w:rPr>
        <w:t>The user understands the service, creates an account and grants the necessary consent.</w:t>
      </w:r>
    </w:p>
    <w:p>
      <w:pPr>
        <w:keepLines/>
        <w:spacing w:after="60"/>
      </w:pPr>
      <w:r>
        <w:rPr>
          <w:rFonts w:ascii="Aptos" w:hAnsi="Aptos"/>
          <w:b/>
          <w:color w:val="0798A5"/>
          <w:sz w:val="18"/>
        </w:rPr>
        <w:t xml:space="preserve">2. Data acquisition: </w:t>
      </w:r>
      <w:r>
        <w:rPr>
          <w:rFonts w:ascii="Aptos" w:hAnsi="Aptos"/>
          <w:b w:val="0"/>
          <w:color w:val="102A5E"/>
          <w:sz w:val="18"/>
        </w:rPr>
        <w:t>The user uploads a report, verifies extracted values and answers only triggered questions.</w:t>
      </w:r>
    </w:p>
    <w:p>
      <w:pPr>
        <w:keepLines/>
        <w:spacing w:after="60"/>
      </w:pPr>
      <w:r>
        <w:rPr>
          <w:rFonts w:ascii="Aptos" w:hAnsi="Aptos"/>
          <w:b/>
          <w:color w:val="0798A5"/>
          <w:sz w:val="18"/>
        </w:rPr>
        <w:t xml:space="preserve">3. Interpretation: </w:t>
      </w:r>
      <w:r>
        <w:rPr>
          <w:rFonts w:ascii="Aptos" w:hAnsi="Aptos"/>
          <w:b w:val="0"/>
          <w:color w:val="102A5E"/>
          <w:sz w:val="18"/>
        </w:rPr>
        <w:t>SQUARE generates the overall summary, marker explanations and integrated domain views.</w:t>
      </w:r>
    </w:p>
    <w:p>
      <w:pPr>
        <w:keepLines/>
        <w:spacing w:after="60"/>
      </w:pPr>
      <w:r>
        <w:rPr>
          <w:rFonts w:ascii="Aptos" w:hAnsi="Aptos"/>
          <w:b/>
          <w:color w:val="0798A5"/>
          <w:sz w:val="18"/>
        </w:rPr>
        <w:t xml:space="preserve">4. Action and escalation: </w:t>
      </w:r>
      <w:r>
        <w:rPr>
          <w:rFonts w:ascii="Aptos" w:hAnsi="Aptos"/>
          <w:b w:val="0"/>
          <w:color w:val="102A5E"/>
          <w:sz w:val="18"/>
        </w:rPr>
        <w:t>The user receives prioritised actions, referral guidance and a shareable report.</w:t>
      </w:r>
    </w:p>
    <w:p>
      <w:pPr>
        <w:keepLines/>
        <w:spacing w:after="60"/>
      </w:pPr>
      <w:r>
        <w:rPr>
          <w:rFonts w:ascii="Aptos" w:hAnsi="Aptos"/>
          <w:b/>
          <w:color w:val="0798A5"/>
          <w:sz w:val="18"/>
        </w:rPr>
        <w:t xml:space="preserve">5. Long-term management: </w:t>
      </w:r>
      <w:r>
        <w:rPr>
          <w:rFonts w:ascii="Aptos" w:hAnsi="Aptos"/>
          <w:b w:val="0"/>
          <w:color w:val="102A5E"/>
          <w:sz w:val="18"/>
        </w:rPr>
        <w:t>New measurements and reports update trends, profile context and future recommendations.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0"/>
      </w:tblGrid>
      <w:tr>
        <w:tc>
          <w:tcPr>
            <w:tcW w:type="dxa" w:w="14400"/>
            <w:shd w:fill="EAF7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0798A5"/>
                <w:sz w:val="18"/>
              </w:rPr>
              <w:t xml:space="preserve">Design principle: </w:t>
            </w:r>
            <w:r>
              <w:rPr>
                <w:rFonts w:ascii="Aptos" w:hAnsi="Aptos"/>
                <w:b w:val="0"/>
                <w:color w:val="102A5E"/>
                <w:sz w:val="18"/>
              </w:rPr>
              <w:t>Every screen should move the user toward understanding, safe action or longitudinal follow-up without presenting educational interpretation as a medical diagnosis.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20" w:bottom="792" w:left="720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3637C"/>
        <w:sz w:val="16"/>
      </w:rPr>
      <w:t xml:space="preserve">SQUARE Platform Design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7C"/>
        <w:sz w:val="17"/>
      </w:rPr>
      <w:t>SQUARE  |  MASTER SCREEN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02A5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798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A5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5263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SQUARE 20-Screen Master Table</dc:title>
  <dc:subject>Purpose, features, functions and user journey</dc:subject>
  <dc:creator>SQUARE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