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Bionobis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07-07-2022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7 Rue Nicolas COPERNIC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220707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Guyancourt, 78280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FR95414655175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5219EB">
        <w:trPr>
          <w:trHeight w:val="326"/>
        </w:trPr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0x00000162ABA33580&gt;,)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267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0x00000162ABA33F10&gt;,)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0x00000162ABA31780&gt;,)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0x00000162ABA31EA0&gt;,)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345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0x00000162ABA30850&gt;,)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P10800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0x00000162ABA300A0&gt;,)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nan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0x00000162ABAA9270&gt;,)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373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0x00000162ABAA8FD0&gt;,)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386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Q10240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0x00000162ABA31750&gt;,)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Q10050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0x00000162ABA30820&gt;,)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0x00000162ABA32530&gt;,)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0x00000162ABA30700&gt;,)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469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0x00000162AB5299F0&gt;,)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504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0x00000162ABA13190&gt;,)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0x00000162ABAA8DC0&gt;,)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0x00000162ABAA8C10&gt;,)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531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0x00000162ABAA8A90&gt;,)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0x00000162ABAA8E20&gt;,)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601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0x00000162ABAA95D0&gt;,)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0x00000162ABAA9180&gt;,)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0x00000162AB9F9750&gt;,)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0x00000162ABAA96C0&gt;,)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0x00000162ABAA9300&gt;,)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0x00000162ABAA8790&gt;,)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
                (
                <docxtpl.inline_image.InlineImage/>
                at 0x00000162ABAABC10&gt;,)
              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316F" w14:textId="77777777" w:rsidR="001C7D8E" w:rsidRDefault="001C7D8E" w:rsidP="0059657D">
      <w:pPr>
        <w:spacing w:after="0" w:line="240" w:lineRule="auto"/>
      </w:pPr>
      <w:r>
        <w:separator/>
      </w:r>
    </w:p>
  </w:endnote>
  <w:endnote w:type="continuationSeparator" w:id="0">
    <w:p w14:paraId="33DFDD4E" w14:textId="77777777" w:rsidR="001C7D8E" w:rsidRDefault="001C7D8E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2216" w14:textId="77777777" w:rsidR="001C7D8E" w:rsidRDefault="001C7D8E" w:rsidP="0059657D">
      <w:pPr>
        <w:spacing w:after="0" w:line="240" w:lineRule="auto"/>
      </w:pPr>
      <w:r>
        <w:separator/>
      </w:r>
    </w:p>
  </w:footnote>
  <w:footnote w:type="continuationSeparator" w:id="0">
    <w:p w14:paraId="29CB86DA" w14:textId="77777777" w:rsidR="001C7D8E" w:rsidRDefault="001C7D8E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103</cp:revision>
  <cp:lastPrinted>2016-11-30T14:13:00Z</cp:lastPrinted>
  <dcterms:created xsi:type="dcterms:W3CDTF">2020-07-27T12:06:00Z</dcterms:created>
  <dcterms:modified xsi:type="dcterms:W3CDTF">2022-07-06T14:42:00Z</dcterms:modified>
</cp:coreProperties>
</file>