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30" w:rsidRPr="00FA4830" w:rsidRDefault="00FA4830" w:rsidP="00494D0B">
      <w:pPr>
        <w:rPr>
          <w:bCs/>
          <w:sz w:val="24"/>
          <w:szCs w:val="24"/>
        </w:rPr>
      </w:pPr>
      <w:r w:rsidRPr="00FA4830">
        <w:rPr>
          <w:bCs/>
          <w:sz w:val="24"/>
          <w:szCs w:val="24"/>
        </w:rPr>
        <w:t>15/3/2012</w:t>
      </w:r>
    </w:p>
    <w:p w:rsidR="00FA4830" w:rsidRDefault="00FA4830" w:rsidP="00494D0B">
      <w:pPr>
        <w:rPr>
          <w:b/>
          <w:bCs/>
          <w:sz w:val="24"/>
          <w:szCs w:val="24"/>
        </w:rPr>
      </w:pPr>
    </w:p>
    <w:p w:rsidR="00494D0B" w:rsidRPr="00FA4830" w:rsidRDefault="00494D0B" w:rsidP="00494D0B">
      <w:pPr>
        <w:rPr>
          <w:b/>
          <w:bCs/>
          <w:sz w:val="28"/>
          <w:szCs w:val="28"/>
        </w:rPr>
      </w:pPr>
      <w:r w:rsidRPr="00FA4830">
        <w:rPr>
          <w:b/>
          <w:bCs/>
          <w:sz w:val="28"/>
          <w:szCs w:val="28"/>
        </w:rPr>
        <w:t>Dow Jones: John Laing Infrastructure Fund Posts Jump in FY Profit</w:t>
      </w:r>
    </w:p>
    <w:p w:rsidR="00494D0B" w:rsidRPr="00FA4830" w:rsidRDefault="00494D0B" w:rsidP="00494D0B">
      <w:pPr>
        <w:rPr>
          <w:sz w:val="24"/>
          <w:szCs w:val="24"/>
        </w:rPr>
      </w:pPr>
    </w:p>
    <w:p w:rsidR="00FA4830" w:rsidRPr="00FA4830" w:rsidRDefault="00494D0B" w:rsidP="00494D0B">
      <w:pPr>
        <w:rPr>
          <w:sz w:val="24"/>
          <w:szCs w:val="24"/>
        </w:rPr>
      </w:pPr>
      <w:r w:rsidRPr="00FA4830">
        <w:rPr>
          <w:sz w:val="24"/>
          <w:szCs w:val="24"/>
        </w:rPr>
        <w:t xml:space="preserve">John Laing Infrastructure Fund (JLIF.LN) Thursday reported a rise in full year profit and said it continues to see strong growth potential in the infrastructure market through acquisitions. </w:t>
      </w:r>
    </w:p>
    <w:p w:rsidR="00494D0B" w:rsidRPr="00FA4830" w:rsidRDefault="00494D0B" w:rsidP="00494D0B">
      <w:pPr>
        <w:rPr>
          <w:b/>
          <w:sz w:val="24"/>
          <w:szCs w:val="24"/>
        </w:rPr>
      </w:pPr>
      <w:r w:rsidRPr="00FA4830">
        <w:rPr>
          <w:b/>
          <w:sz w:val="24"/>
          <w:szCs w:val="24"/>
        </w:rPr>
        <w:t xml:space="preserve">MAIN FACTS: </w:t>
      </w:r>
    </w:p>
    <w:p w:rsidR="00494D0B" w:rsidRPr="00FA4830" w:rsidRDefault="00494D0B" w:rsidP="00FA4830">
      <w:pPr>
        <w:pStyle w:val="ListParagraph"/>
        <w:numPr>
          <w:ilvl w:val="0"/>
          <w:numId w:val="1"/>
        </w:numPr>
        <w:spacing w:after="120"/>
        <w:ind w:left="142" w:hanging="142"/>
        <w:rPr>
          <w:sz w:val="24"/>
          <w:szCs w:val="24"/>
        </w:rPr>
      </w:pPr>
      <w:r w:rsidRPr="00FA4830">
        <w:rPr>
          <w:sz w:val="24"/>
          <w:szCs w:val="24"/>
        </w:rPr>
        <w:t>Profit before tax for the year ended Dec 31, 2011 GBP35.0 million (2010:</w:t>
      </w:r>
      <w:r w:rsidR="00FA4830" w:rsidRPr="00FA4830">
        <w:rPr>
          <w:sz w:val="24"/>
          <w:szCs w:val="24"/>
        </w:rPr>
        <w:t xml:space="preserve"> </w:t>
      </w:r>
      <w:r w:rsidRPr="00FA4830">
        <w:rPr>
          <w:sz w:val="24"/>
          <w:szCs w:val="24"/>
        </w:rPr>
        <w:t>GBP4.2 million)</w:t>
      </w:r>
    </w:p>
    <w:p w:rsidR="00FA4830" w:rsidRPr="00FA4830" w:rsidRDefault="00FA4830" w:rsidP="00FA4830">
      <w:pPr>
        <w:pStyle w:val="ListParagraph"/>
        <w:spacing w:after="120"/>
        <w:ind w:left="142" w:hanging="142"/>
        <w:rPr>
          <w:sz w:val="24"/>
          <w:szCs w:val="24"/>
        </w:rPr>
      </w:pPr>
    </w:p>
    <w:p w:rsidR="00494D0B" w:rsidRPr="00FA4830" w:rsidRDefault="00494D0B" w:rsidP="00FA4830">
      <w:pPr>
        <w:pStyle w:val="ListParagraph"/>
        <w:numPr>
          <w:ilvl w:val="0"/>
          <w:numId w:val="1"/>
        </w:numPr>
        <w:spacing w:after="120"/>
        <w:ind w:left="142" w:hanging="142"/>
        <w:rPr>
          <w:sz w:val="24"/>
          <w:szCs w:val="24"/>
        </w:rPr>
      </w:pPr>
      <w:r w:rsidRPr="00FA4830">
        <w:rPr>
          <w:sz w:val="24"/>
          <w:szCs w:val="24"/>
        </w:rPr>
        <w:t>Portfolio valuation of GBP380.4 million up GBP115.7 million over the year buoyed by acquisitions of GBP109.5 million</w:t>
      </w:r>
    </w:p>
    <w:p w:rsidR="00FA4830" w:rsidRPr="00FA4830" w:rsidRDefault="00FA4830" w:rsidP="00FA4830">
      <w:pPr>
        <w:pStyle w:val="ListParagraph"/>
        <w:spacing w:after="120"/>
        <w:ind w:left="142" w:hanging="142"/>
        <w:rPr>
          <w:sz w:val="24"/>
          <w:szCs w:val="24"/>
        </w:rPr>
      </w:pPr>
    </w:p>
    <w:p w:rsidR="00494D0B" w:rsidRPr="00FA4830" w:rsidRDefault="00494D0B" w:rsidP="00FA4830">
      <w:pPr>
        <w:pStyle w:val="ListParagraph"/>
        <w:numPr>
          <w:ilvl w:val="0"/>
          <w:numId w:val="1"/>
        </w:numPr>
        <w:spacing w:after="120"/>
        <w:ind w:left="142" w:hanging="142"/>
        <w:rPr>
          <w:sz w:val="24"/>
          <w:szCs w:val="24"/>
        </w:rPr>
      </w:pPr>
      <w:r w:rsidRPr="00FA4830">
        <w:rPr>
          <w:sz w:val="24"/>
          <w:szCs w:val="24"/>
        </w:rPr>
        <w:t>Underlying portfolio value growth of 9.2% which is ahead of expectations due to value enhancements achieved and positive impact of inflation</w:t>
      </w:r>
    </w:p>
    <w:p w:rsidR="00FA4830" w:rsidRPr="00FA4830" w:rsidRDefault="00FA4830" w:rsidP="00FA4830">
      <w:pPr>
        <w:pStyle w:val="ListParagraph"/>
        <w:rPr>
          <w:sz w:val="24"/>
          <w:szCs w:val="24"/>
        </w:rPr>
      </w:pPr>
    </w:p>
    <w:p w:rsidR="00FA4830" w:rsidRPr="00FA4830" w:rsidRDefault="00FA4830" w:rsidP="00FA4830">
      <w:pPr>
        <w:pStyle w:val="ListParagraph"/>
        <w:numPr>
          <w:ilvl w:val="0"/>
          <w:numId w:val="1"/>
        </w:numPr>
        <w:spacing w:after="120"/>
        <w:ind w:left="142" w:hanging="142"/>
        <w:rPr>
          <w:sz w:val="24"/>
          <w:szCs w:val="24"/>
        </w:rPr>
      </w:pPr>
      <w:r w:rsidRPr="00FA4830">
        <w:rPr>
          <w:sz w:val="24"/>
          <w:szCs w:val="24"/>
        </w:rPr>
        <w:t>NAV per share increased 3.8% to 104.6 pence after dividend payments of 3.5 pence</w:t>
      </w:r>
    </w:p>
    <w:p w:rsidR="00FA4830" w:rsidRPr="00FA4830" w:rsidRDefault="00FA4830" w:rsidP="00FA4830">
      <w:pPr>
        <w:pStyle w:val="ListParagraph"/>
        <w:rPr>
          <w:sz w:val="24"/>
          <w:szCs w:val="24"/>
        </w:rPr>
      </w:pPr>
    </w:p>
    <w:p w:rsidR="00494D0B" w:rsidRPr="00FA4830" w:rsidRDefault="00FA4830" w:rsidP="00FA4830">
      <w:pPr>
        <w:pStyle w:val="ListParagraph"/>
        <w:numPr>
          <w:ilvl w:val="0"/>
          <w:numId w:val="1"/>
        </w:numPr>
        <w:spacing w:after="120"/>
        <w:ind w:left="142" w:hanging="142"/>
        <w:rPr>
          <w:sz w:val="24"/>
          <w:szCs w:val="24"/>
        </w:rPr>
      </w:pPr>
      <w:r w:rsidRPr="00FA4830">
        <w:rPr>
          <w:sz w:val="24"/>
          <w:szCs w:val="24"/>
        </w:rPr>
        <w:t> </w:t>
      </w:r>
      <w:r w:rsidR="00494D0B" w:rsidRPr="00FA4830">
        <w:rPr>
          <w:sz w:val="24"/>
          <w:szCs w:val="24"/>
        </w:rPr>
        <w:t>Cash Flow in line with expectations, with ca</w:t>
      </w:r>
      <w:r w:rsidRPr="00FA4830">
        <w:rPr>
          <w:sz w:val="24"/>
          <w:szCs w:val="24"/>
        </w:rPr>
        <w:t>sh of GBP48.6 million at Dec 31 2011</w:t>
      </w:r>
    </w:p>
    <w:p w:rsidR="00FA4830" w:rsidRPr="00FA4830" w:rsidRDefault="00FA4830" w:rsidP="00FA4830">
      <w:pPr>
        <w:pStyle w:val="ListParagraph"/>
        <w:rPr>
          <w:sz w:val="24"/>
          <w:szCs w:val="24"/>
        </w:rPr>
      </w:pPr>
    </w:p>
    <w:p w:rsidR="00494D0B" w:rsidRPr="00FA4830" w:rsidRDefault="00494D0B" w:rsidP="00FA4830">
      <w:pPr>
        <w:pStyle w:val="ListParagraph"/>
        <w:numPr>
          <w:ilvl w:val="0"/>
          <w:numId w:val="1"/>
        </w:numPr>
        <w:spacing w:after="120"/>
        <w:ind w:left="142" w:hanging="142"/>
        <w:rPr>
          <w:sz w:val="24"/>
          <w:szCs w:val="24"/>
        </w:rPr>
      </w:pPr>
      <w:r w:rsidRPr="00FA4830">
        <w:rPr>
          <w:sz w:val="24"/>
          <w:szCs w:val="24"/>
        </w:rPr>
        <w:t>Dividend for 2H announced at 3.0 pence, which with the interim dividend paid in October 2011, is in line with target dividend yield of 6.0 pence per annum</w:t>
      </w:r>
    </w:p>
    <w:p w:rsidR="00FA4830" w:rsidRPr="00FA4830" w:rsidRDefault="00FA4830" w:rsidP="00FA4830">
      <w:pPr>
        <w:pStyle w:val="ListParagraph"/>
        <w:rPr>
          <w:sz w:val="24"/>
          <w:szCs w:val="24"/>
        </w:rPr>
      </w:pPr>
    </w:p>
    <w:p w:rsidR="00494D0B" w:rsidRPr="00FA4830" w:rsidRDefault="00494D0B" w:rsidP="00FA4830">
      <w:pPr>
        <w:pStyle w:val="ListParagraph"/>
        <w:numPr>
          <w:ilvl w:val="0"/>
          <w:numId w:val="1"/>
        </w:numPr>
        <w:spacing w:after="120"/>
        <w:ind w:left="142" w:hanging="142"/>
        <w:rPr>
          <w:sz w:val="24"/>
          <w:szCs w:val="24"/>
        </w:rPr>
      </w:pPr>
      <w:r w:rsidRPr="00FA4830">
        <w:rPr>
          <w:sz w:val="24"/>
          <w:szCs w:val="24"/>
        </w:rPr>
        <w:t>Remain in line to achieve an IRR target of 7-8% over the long term</w:t>
      </w:r>
    </w:p>
    <w:p w:rsidR="00FA4830" w:rsidRPr="00FA4830" w:rsidRDefault="00FA4830" w:rsidP="00FA4830">
      <w:pPr>
        <w:pStyle w:val="ListParagraph"/>
        <w:rPr>
          <w:sz w:val="24"/>
          <w:szCs w:val="24"/>
        </w:rPr>
      </w:pPr>
    </w:p>
    <w:p w:rsidR="00494D0B" w:rsidRPr="00FA4830" w:rsidRDefault="00494D0B" w:rsidP="00FA4830">
      <w:pPr>
        <w:pStyle w:val="ListParagraph"/>
        <w:numPr>
          <w:ilvl w:val="0"/>
          <w:numId w:val="1"/>
        </w:numPr>
        <w:spacing w:after="120"/>
        <w:ind w:left="142" w:hanging="142"/>
        <w:rPr>
          <w:sz w:val="24"/>
          <w:szCs w:val="24"/>
        </w:rPr>
      </w:pPr>
      <w:r w:rsidRPr="00FA4830">
        <w:rPr>
          <w:sz w:val="24"/>
          <w:szCs w:val="24"/>
        </w:rPr>
        <w:t>Acquisitions totalled GBP109.5 million during the year</w:t>
      </w:r>
    </w:p>
    <w:p w:rsidR="00FA4830" w:rsidRPr="00FA4830" w:rsidRDefault="00FA4830" w:rsidP="00FA4830">
      <w:pPr>
        <w:pStyle w:val="ListParagraph"/>
        <w:rPr>
          <w:sz w:val="24"/>
          <w:szCs w:val="24"/>
        </w:rPr>
      </w:pPr>
    </w:p>
    <w:p w:rsidR="00494D0B" w:rsidRPr="00FA4830" w:rsidRDefault="00494D0B" w:rsidP="00FA4830">
      <w:pPr>
        <w:pStyle w:val="ListParagraph"/>
        <w:numPr>
          <w:ilvl w:val="0"/>
          <w:numId w:val="1"/>
        </w:numPr>
        <w:spacing w:after="120"/>
        <w:ind w:left="142" w:hanging="142"/>
        <w:rPr>
          <w:sz w:val="24"/>
          <w:szCs w:val="24"/>
        </w:rPr>
      </w:pPr>
      <w:r w:rsidRPr="00FA4830">
        <w:rPr>
          <w:sz w:val="24"/>
          <w:szCs w:val="24"/>
        </w:rPr>
        <w:t>Shares closed at GBP1.1 valuin</w:t>
      </w:r>
      <w:r w:rsidR="00FA4830" w:rsidRPr="00FA4830">
        <w:rPr>
          <w:sz w:val="24"/>
          <w:szCs w:val="24"/>
        </w:rPr>
        <w:t>g the company at GBP465 million</w:t>
      </w:r>
    </w:p>
    <w:p w:rsidR="00FC0C08" w:rsidRDefault="00FC0C08"/>
    <w:sectPr w:rsidR="00FC0C08" w:rsidSect="00FC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1685"/>
    <w:multiLevelType w:val="hybridMultilevel"/>
    <w:tmpl w:val="589CBC9A"/>
    <w:lvl w:ilvl="0" w:tplc="D684433A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D0B"/>
    <w:rsid w:val="00006FEF"/>
    <w:rsid w:val="00070C69"/>
    <w:rsid w:val="000A313C"/>
    <w:rsid w:val="0012095E"/>
    <w:rsid w:val="00230A3E"/>
    <w:rsid w:val="00231708"/>
    <w:rsid w:val="002B72BF"/>
    <w:rsid w:val="002E15F9"/>
    <w:rsid w:val="002F47AF"/>
    <w:rsid w:val="00315072"/>
    <w:rsid w:val="003A5FB5"/>
    <w:rsid w:val="003C528D"/>
    <w:rsid w:val="003F2045"/>
    <w:rsid w:val="00433F2B"/>
    <w:rsid w:val="00471866"/>
    <w:rsid w:val="00494D0B"/>
    <w:rsid w:val="004B05A9"/>
    <w:rsid w:val="00530281"/>
    <w:rsid w:val="00666C50"/>
    <w:rsid w:val="006C610B"/>
    <w:rsid w:val="006D75B2"/>
    <w:rsid w:val="007006FF"/>
    <w:rsid w:val="00720CB5"/>
    <w:rsid w:val="00790CBB"/>
    <w:rsid w:val="00806B50"/>
    <w:rsid w:val="008D02EB"/>
    <w:rsid w:val="008F653E"/>
    <w:rsid w:val="009A3CC0"/>
    <w:rsid w:val="009E5A73"/>
    <w:rsid w:val="00A5775D"/>
    <w:rsid w:val="00AB59A7"/>
    <w:rsid w:val="00AE7950"/>
    <w:rsid w:val="00AE7EA3"/>
    <w:rsid w:val="00AF1160"/>
    <w:rsid w:val="00B82BFF"/>
    <w:rsid w:val="00C17B3C"/>
    <w:rsid w:val="00C433AF"/>
    <w:rsid w:val="00CD6E52"/>
    <w:rsid w:val="00D236D5"/>
    <w:rsid w:val="00E42B8F"/>
    <w:rsid w:val="00E96A37"/>
    <w:rsid w:val="00E97DB9"/>
    <w:rsid w:val="00EA61A0"/>
    <w:rsid w:val="00EF47C5"/>
    <w:rsid w:val="00F029C4"/>
    <w:rsid w:val="00F05327"/>
    <w:rsid w:val="00F41602"/>
    <w:rsid w:val="00F44AA2"/>
    <w:rsid w:val="00F5253F"/>
    <w:rsid w:val="00F6133A"/>
    <w:rsid w:val="00FA4830"/>
    <w:rsid w:val="00FC0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970</Characters>
  <Application>Microsoft Office Word</Application>
  <DocSecurity>0</DocSecurity>
  <Lines>8</Lines>
  <Paragraphs>2</Paragraphs>
  <ScaleCrop>false</ScaleCrop>
  <Company>Laing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spalmer</dc:creator>
  <cp:keywords/>
  <dc:description/>
  <cp:lastModifiedBy>spalmer</cp:lastModifiedBy>
  <cp:revision>2</cp:revision>
  <dcterms:created xsi:type="dcterms:W3CDTF">2012-03-15T08:36:00Z</dcterms:created>
  <dcterms:modified xsi:type="dcterms:W3CDTF">2012-03-15T09:06:00Z</dcterms:modified>
</cp:coreProperties>
</file>