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tbl>
      <w:tblPr>
        <w:name w:val="Tabla1"/>
        <w:tabOrder w:val="0"/>
        <w:jc w:val="left"/>
        <w:tblInd w:w="0" w:type="dxa"/>
        <w:tblW w:w="9360" w:type="dxa"/>
      </w:tblPr>
      <w:tblGrid>
        <w:gridCol w:w="6360"/>
        <w:gridCol w:w="3000"/>
      </w:tblGrid>
      <w:tr>
        <w:trPr>
          <w:tblHeader w:val="0"/>
          <w:cantSplit w:val="0"/>
          <w:trHeight w:val="0" w:hRule="auto"/>
        </w:trPr>
        <w:tc>
          <w:tcPr>
            <w:tcW w:w="6360" w:type="dxa"/>
            <w:shd w:val="solid" w:color="2E74B5" tmshd="1677721856, 0, 11891758"/>
            <w:tcMar>
              <w:top w:w="100" w:type="dxa"/>
              <w:left w:w="150" w:type="dxa"/>
              <w:bottom w:w="100" w:type="dxa"/>
              <w:right w:w="15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4"/>
                <w:szCs w:val="24"/>
              </w:rPr>
              <w:t>DOCUMENTO DE VISIÓN Y ALCANCE</w:t>
            </w:r>
            <w:r/>
          </w:p>
          <w:p>
            <w:pPr>
              <w:spacing/>
              <w:jc w:val="center"/>
            </w:pPr>
            <w:r>
              <w:rPr>
                <w:b/>
                <w:bCs/>
                <w:color w:val="ffffff"/>
                <w:sz w:val="26"/>
                <w:szCs w:val="26"/>
              </w:rPr>
              <w:t>Inca Soft Solutions</w:t>
            </w:r>
            <w:r/>
          </w:p>
        </w:tc>
        <w:tc>
          <w:tcPr>
            <w:tcW w:w="3000" w:type="dxa"/>
            <w:shd w:val="solid" w:color="D6E4F7" tmshd="1677721856, 0, 16245974"/>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rPr>
                <w:sz w:val="20"/>
                <w:szCs w:val="20"/>
              </w:rPr>
              <w:t>Versión: 1.0</w:t>
            </w:r>
            <w:r/>
          </w:p>
          <w:p>
            <w:pPr/>
            <w:r>
              <w:rPr>
                <w:sz w:val="20"/>
                <w:szCs w:val="20"/>
              </w:rPr>
              <w:t>Fecha: 20/02/2026</w:t>
            </w:r>
            <w:r/>
          </w:p>
          <w:p>
            <w:pPr/>
            <w:r>
              <w:rPr>
                <w:sz w:val="20"/>
                <w:szCs w:val="20"/>
              </w:rPr>
              <w:t>Curso: Ingeniería de Software I</w:t>
            </w:r>
            <w:r/>
          </w:p>
        </w:tc>
      </w:tr>
    </w:tbl>
    <w:p>
      <w:pPr>
        <w:spacing w:before="200" w:after="200"/>
      </w:pPr>
      <w:r/>
    </w:p>
    <w:tbl>
      <w:tblPr>
        <w:name w:val="Tabla2"/>
        <w:tabOrder w:val="0"/>
        <w:jc w:val="left"/>
        <w:tblInd w:w="0" w:type="dxa"/>
        <w:tblW w:w="9360" w:type="dxa"/>
      </w:tblPr>
      <w:tblGrid>
        <w:gridCol w:w="4680"/>
        <w:gridCol w:w="4680"/>
      </w:tblGrid>
      <w:tr>
        <w:trPr>
          <w:tblHeader w:val="0"/>
          <w:cantSplit w:val="0"/>
          <w:trHeight w:val="0" w:hRule="auto"/>
        </w:trPr>
        <w:tc>
          <w:tcPr>
            <w:tcW w:w="468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Integrante</w:t>
            </w:r>
            <w:r/>
          </w:p>
        </w:tc>
        <w:tc>
          <w:tcPr>
            <w:tcW w:w="468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Rol</w:t>
            </w:r>
            <w:r/>
          </w:p>
        </w:tc>
      </w:tr>
      <w:tr>
        <w:trPr>
          <w:tblHeader w:val="0"/>
          <w:cantSplit w:val="0"/>
          <w:trHeight w:val="0" w:hRule="auto"/>
        </w:trPr>
        <w:tc>
          <w:tcPr>
            <w:tcW w:w="468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Juan E. Villegas</w:t>
            </w:r>
            <w:r/>
          </w:p>
        </w:tc>
        <w:tc>
          <w:tcPr>
            <w:tcW w:w="468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Desarrollador / Gerente de Proyecto</w:t>
            </w:r>
            <w:r/>
          </w:p>
        </w:tc>
      </w:tr>
      <w:tr>
        <w:trPr>
          <w:tblHeader w:val="0"/>
          <w:cantSplit w:val="0"/>
          <w:trHeight w:val="0" w:hRule="auto"/>
        </w:trPr>
        <w:tc>
          <w:tcPr>
            <w:tcW w:w="468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Julián Valencia</w:t>
            </w:r>
            <w:r/>
          </w:p>
        </w:tc>
        <w:tc>
          <w:tcPr>
            <w:tcW w:w="468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Desarrollador / Gerente de Proyecto</w:t>
            </w:r>
            <w:r/>
          </w:p>
        </w:tc>
      </w:tr>
      <w:tr>
        <w:trPr>
          <w:tblHeader w:val="0"/>
          <w:cantSplit w:val="0"/>
          <w:trHeight w:val="0" w:hRule="auto"/>
        </w:trPr>
        <w:tc>
          <w:tcPr>
            <w:tcW w:w="468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Miguel Florián</w:t>
            </w:r>
            <w:r/>
          </w:p>
        </w:tc>
        <w:tc>
          <w:tcPr>
            <w:tcW w:w="468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Desarrollador / Gerente de Proyecto</w:t>
            </w:r>
            <w:r/>
          </w:p>
        </w:tc>
      </w:tr>
    </w:tbl>
    <w:p>
      <w:pPr>
        <w:spacing w:before="120"/>
      </w:pPr>
      <w:r/>
    </w:p>
    <w:p>
      <w:pPr>
        <w:pStyle w:val="para2"/>
        <w:spacing w:before="320" w:after="120"/>
      </w:pPr>
      <w:r>
        <w:rPr>
          <w:b/>
          <w:bCs/>
          <w:sz w:val="28"/>
          <w:szCs w:val="28"/>
        </w:rPr>
        <w:t>1. Introducción</w:t>
      </w:r>
      <w:r/>
    </w:p>
    <w:p>
      <w:pPr>
        <w:spacing w:before="80" w:after="80"/>
        <w:jc w:val="both"/>
      </w:pPr>
      <w:r>
        <w:t>El presente documento describe la visión y el alcance del sistema Inca Soft Solutions. Este documento establece el acuerdo inicial entre el equipo de desarrollo y los interesados del proyecto, con el fin de delimitar claramente qué se construirá, para quién y con qué propósito. El contenido del documento es el siguiente:</w:t>
      </w:r>
    </w:p>
    <w:p>
      <w:pPr>
        <w:pStyle w:val="para9"/>
        <w:numPr>
          <w:ilvl w:val="0"/>
          <w:numId w:val="4"/>
        </w:numPr>
        <w:ind w:left="720" w:hanging="360"/>
        <w:spacing w:before="60" w:after="60"/>
      </w:pPr>
      <w:r>
        <w:t>1. Introducción</w:t>
      </w:r>
    </w:p>
    <w:p>
      <w:pPr>
        <w:pStyle w:val="para9"/>
        <w:numPr>
          <w:ilvl w:val="0"/>
          <w:numId w:val="4"/>
        </w:numPr>
        <w:ind w:left="720" w:hanging="360"/>
        <w:spacing w:before="60" w:after="60"/>
      </w:pPr>
      <w:r>
        <w:t>2. Contexto de negocio</w:t>
      </w:r>
    </w:p>
    <w:p>
      <w:pPr>
        <w:pStyle w:val="para9"/>
        <w:numPr>
          <w:ilvl w:val="0"/>
          <w:numId w:val="4"/>
        </w:numPr>
        <w:ind w:left="720" w:hanging="360"/>
        <w:spacing w:before="60" w:after="60"/>
      </w:pPr>
      <w:r>
        <w:t xml:space="preserve">   2.1 Antecedentes</w:t>
      </w:r>
    </w:p>
    <w:p>
      <w:pPr>
        <w:pStyle w:val="para9"/>
        <w:numPr>
          <w:ilvl w:val="0"/>
          <w:numId w:val="4"/>
        </w:numPr>
        <w:ind w:left="720" w:hanging="360"/>
        <w:spacing w:before="60" w:after="60"/>
      </w:pPr>
      <w:r>
        <w:t xml:space="preserve">   2.2 Frase del problema</w:t>
      </w:r>
    </w:p>
    <w:p>
      <w:pPr>
        <w:pStyle w:val="para9"/>
        <w:numPr>
          <w:ilvl w:val="0"/>
          <w:numId w:val="4"/>
        </w:numPr>
        <w:ind w:left="720" w:hanging="360"/>
        <w:spacing w:before="60" w:after="60"/>
      </w:pPr>
      <w:r>
        <w:t xml:space="preserve">   2.3 Objetivos de negocio</w:t>
      </w:r>
    </w:p>
    <w:p>
      <w:pPr>
        <w:pStyle w:val="para9"/>
        <w:numPr>
          <w:ilvl w:val="0"/>
          <w:numId w:val="4"/>
        </w:numPr>
        <w:ind w:left="720" w:hanging="360"/>
        <w:spacing w:before="60" w:after="60"/>
      </w:pPr>
      <w:r>
        <w:t>3. Visión de la solución</w:t>
      </w:r>
    </w:p>
    <w:p>
      <w:pPr>
        <w:pStyle w:val="para9"/>
        <w:numPr>
          <w:ilvl w:val="0"/>
          <w:numId w:val="4"/>
        </w:numPr>
        <w:ind w:left="720" w:hanging="360"/>
        <w:spacing w:before="60" w:after="60"/>
      </w:pPr>
      <w:r>
        <w:t xml:space="preserve">   3.1 Frase de visión</w:t>
      </w:r>
    </w:p>
    <w:p>
      <w:pPr>
        <w:pStyle w:val="para9"/>
        <w:numPr>
          <w:ilvl w:val="0"/>
          <w:numId w:val="4"/>
        </w:numPr>
        <w:ind w:left="720" w:hanging="360"/>
        <w:spacing w:before="60" w:after="60"/>
      </w:pPr>
      <w:r>
        <w:t xml:space="preserve">   3.2 Características del sistema</w:t>
      </w:r>
    </w:p>
    <w:p>
      <w:pPr>
        <w:pStyle w:val="para9"/>
        <w:numPr>
          <w:ilvl w:val="0"/>
          <w:numId w:val="4"/>
        </w:numPr>
        <w:ind w:left="720" w:hanging="360"/>
        <w:spacing w:before="60" w:after="60"/>
      </w:pPr>
      <w:r>
        <w:t>4. Alcance y limitaciones</w:t>
      </w:r>
    </w:p>
    <w:p>
      <w:pPr>
        <w:pStyle w:val="para9"/>
        <w:numPr>
          <w:ilvl w:val="0"/>
          <w:numId w:val="4"/>
        </w:numPr>
        <w:ind w:left="720" w:hanging="360"/>
        <w:spacing w:before="60" w:after="60"/>
      </w:pPr>
      <w:r>
        <w:t xml:space="preserve">   4.1 Alcance</w:t>
      </w:r>
    </w:p>
    <w:p>
      <w:pPr>
        <w:pStyle w:val="para9"/>
        <w:numPr>
          <w:ilvl w:val="0"/>
          <w:numId w:val="4"/>
        </w:numPr>
        <w:ind w:left="720" w:hanging="360"/>
        <w:spacing w:before="60" w:after="60"/>
      </w:pPr>
      <w:r>
        <w:t>5. Contexto del sistema</w:t>
      </w:r>
    </w:p>
    <w:p>
      <w:pPr>
        <w:pStyle w:val="para9"/>
        <w:numPr>
          <w:ilvl w:val="0"/>
          <w:numId w:val="4"/>
        </w:numPr>
        <w:ind w:left="720" w:hanging="360"/>
        <w:spacing w:before="60" w:after="60"/>
      </w:pPr>
      <w:r>
        <w:t xml:space="preserve">   5.1 Resumen de involucrados</w:t>
      </w:r>
    </w:p>
    <w:p>
      <w:pPr>
        <w:pStyle w:val="para9"/>
        <w:numPr>
          <w:ilvl w:val="0"/>
          <w:numId w:val="4"/>
        </w:numPr>
        <w:ind w:left="720" w:hanging="360"/>
        <w:spacing w:before="60" w:after="60"/>
      </w:pPr>
      <w:r>
        <w:t xml:space="preserve">   5.2 Diagrama de contexto</w:t>
      </w:r>
    </w:p>
    <w:p>
      <w:pPr>
        <w:pStyle w:val="para9"/>
        <w:numPr>
          <w:ilvl w:val="0"/>
          <w:numId w:val="4"/>
        </w:numPr>
        <w:ind w:left="720" w:hanging="360"/>
        <w:spacing w:before="60" w:after="60"/>
      </w:pPr>
      <w:r>
        <w:t xml:space="preserve">   5.3 Entorno de operación</w:t>
      </w:r>
    </w:p>
    <w:p>
      <w:pPr>
        <w:pStyle w:val="para9"/>
        <w:numPr>
          <w:ilvl w:val="0"/>
          <w:numId w:val="4"/>
        </w:numPr>
        <w:ind w:left="720" w:hanging="360"/>
        <w:spacing w:before="60" w:after="60"/>
      </w:pPr>
      <w:r>
        <w:t>6. Información adicional</w:t>
      </w:r>
    </w:p>
    <w:p>
      <w:pPr>
        <w:pStyle w:val="para2"/>
        <w:spacing w:before="320" w:after="120"/>
      </w:pPr>
      <w:r>
        <w:rPr>
          <w:b/>
          <w:bCs/>
          <w:sz w:val="28"/>
          <w:szCs w:val="28"/>
        </w:rPr>
        <w:t>2. Contexto de negocio</w:t>
      </w:r>
      <w:r/>
    </w:p>
    <w:p>
      <w:pPr>
        <w:pStyle w:val="para3"/>
        <w:spacing w:before="240" w:after="80"/>
      </w:pPr>
      <w:r>
        <w:rPr>
          <w:b/>
          <w:bCs/>
          <w:color w:val="1f4e79"/>
          <w:sz w:val="24"/>
          <w:szCs w:val="24"/>
        </w:rPr>
        <w:t>2.1 Antecedentes</w:t>
      </w:r>
      <w:r/>
    </w:p>
    <w:p>
      <w:pPr>
        <w:spacing w:before="80" w:after="80"/>
        <w:jc w:val="both"/>
      </w:pPr>
      <w:r>
        <w:t>En la actualidad, el proceso de gestión de incapacidades médicas y licencias de maternidad o paternidad en algunas IPS se lleva a cabo de forma manual.</w:t>
      </w:r>
    </w:p>
    <w:p>
      <w:pPr>
        <w:spacing w:before="80" w:after="80"/>
        <w:jc w:val="both"/>
      </w:pPr>
      <w:r>
        <w:t>Este esquema genera retrasos, pérdida de documentación, dificultad en el seguimiento del estado de cada incapacidad y riesgo de incumplimiento normativo frente a las EPS y ARL para el pago u otro proceso. No existe un sistema centralizado que permita al personal de Gestión Humana registrar, controlar y consultar de manera eficiente el ciclo de vida completo de las incapacidades.</w:t>
      </w:r>
    </w:p>
    <w:p>
      <w:pPr>
        <w:spacing w:before="80" w:after="80"/>
        <w:jc w:val="both"/>
        <w:rPr>
          <w:color w:val="ff0000"/>
        </w:rPr>
      </w:pPr>
      <w:r>
        <w:rPr>
          <w:color w:val="ff0000"/>
        </w:rPr>
        <w:t>Adicionar articulos cintificos clase A+ (Almenos 6) del 2020 hacia adelante</w:t>
      </w:r>
    </w:p>
    <w:p>
      <w:pPr>
        <w:pStyle w:val="para3"/>
        <w:spacing w:before="240" w:after="80"/>
      </w:pPr>
      <w:r>
        <w:rPr>
          <w:b/>
          <w:bCs/>
          <w:color w:val="1f4e79"/>
          <w:sz w:val="24"/>
          <w:szCs w:val="24"/>
        </w:rPr>
        <w:t>2.2 Frase del problema</w:t>
      </w:r>
      <w:r/>
    </w:p>
    <w:p>
      <w:pPr>
        <w:spacing w:before="80" w:after="80"/>
        <w:jc w:val="both"/>
      </w:pPr>
      <w:r>
        <w:t>El personal del área de Gestión Humana de las empresas, no cuentan con una herramienta digital que le permita registrar, hacer seguimiento y gestionar de forma ágil el estado de las incapacidades médicas y licencias de maternidad/paternidad de los colaboradores, lo que genera ineficiencias operativas ante la EPS o ARL, según corresponda.</w:t>
      </w:r>
    </w:p>
    <w:p>
      <w:pPr>
        <w:pStyle w:val="para3"/>
        <w:spacing w:before="240" w:after="80"/>
      </w:pPr>
      <w:r>
        <w:rPr>
          <w:b/>
          <w:bCs/>
          <w:color w:val="1f4e79"/>
          <w:sz w:val="24"/>
          <w:szCs w:val="24"/>
        </w:rPr>
        <w:t>2.3 Objetivos de negocio</w:t>
      </w:r>
      <w:r/>
    </w:p>
    <w:p>
      <w:pPr>
        <w:spacing w:before="100"/>
      </w:pPr>
      <w:r/>
    </w:p>
    <w:tbl>
      <w:tblPr>
        <w:name w:val="Tabla3"/>
        <w:tabOrder w:val="0"/>
        <w:jc w:val="left"/>
        <w:tblInd w:w="0" w:type="dxa"/>
        <w:tblW w:w="9360" w:type="dxa"/>
      </w:tblPr>
      <w:tblGrid>
        <w:gridCol w:w="1200"/>
        <w:gridCol w:w="8160"/>
      </w:tblGrid>
      <w:tr>
        <w:trPr>
          <w:tblHeader w:val="0"/>
          <w:cantSplit w:val="0"/>
          <w:trHeight w:val="0" w:hRule="auto"/>
        </w:trPr>
        <w:tc>
          <w:tcPr>
            <w:tcW w:w="12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ID</w:t>
            </w:r>
            <w:r/>
          </w:p>
        </w:tc>
        <w:tc>
          <w:tcPr>
            <w:tcW w:w="816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Descripción del objetivo de negocio</w:t>
            </w:r>
            <w:r/>
          </w:p>
        </w:tc>
      </w:tr>
      <w:tr>
        <w:trPr>
          <w:tblHeader w:val="0"/>
          <w:cantSplit w:val="0"/>
          <w:trHeight w:val="0" w:hRule="auto"/>
        </w:trPr>
        <w:tc>
          <w:tcPr>
            <w:tcW w:w="1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01</w:t>
            </w:r>
            <w:r/>
          </w:p>
        </w:tc>
        <w:tc>
          <w:tcPr>
            <w:tcW w:w="81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Centralizar el registro y seguimiento de incapacidades médicas y licencias de maternidad y paternidad en un sistema web, reemplazando los procesos manuales actuales.</w:t>
            </w:r>
            <w:r/>
          </w:p>
        </w:tc>
      </w:tr>
      <w:tr>
        <w:trPr>
          <w:tblHeader w:val="0"/>
          <w:cantSplit w:val="0"/>
          <w:trHeight w:val="0" w:hRule="auto"/>
        </w:trPr>
        <w:tc>
          <w:tcPr>
            <w:tcW w:w="1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02</w:t>
            </w:r>
            <w:r/>
          </w:p>
        </w:tc>
        <w:tc>
          <w:tcPr>
            <w:tcW w:w="81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Garantizar el cumplimiento normativo frente a EPS, ARL y AFP, facilitando el control de los tiempos de transcripción, cobros ó rechazos de incapacidades.</w:t>
            </w:r>
            <w:r/>
          </w:p>
        </w:tc>
      </w:tr>
      <w:tr>
        <w:trPr>
          <w:tblHeader w:val="0"/>
          <w:cantSplit w:val="0"/>
          <w:trHeight w:val="0" w:hRule="auto"/>
        </w:trPr>
        <w:tc>
          <w:tcPr>
            <w:tcW w:w="1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03</w:t>
            </w:r>
            <w:r/>
          </w:p>
        </w:tc>
        <w:tc>
          <w:tcPr>
            <w:tcW w:w="81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p>
        </w:tc>
      </w:tr>
      <w:tr>
        <w:trPr>
          <w:tblHeader w:val="0"/>
          <w:cantSplit w:val="0"/>
          <w:trHeight w:val="0" w:hRule="auto"/>
        </w:trPr>
        <w:tc>
          <w:tcPr>
            <w:tcW w:w="1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04</w:t>
            </w:r>
            <w:r/>
          </w:p>
        </w:tc>
        <w:tc>
          <w:tcPr>
            <w:tcW w:w="81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p>
        </w:tc>
      </w:tr>
    </w:tbl>
    <w:p>
      <w:pPr>
        <w:spacing w:before="100"/>
      </w:pPr>
      <w:r/>
    </w:p>
    <w:p>
      <w:pPr>
        <w:pStyle w:val="para2"/>
        <w:spacing w:before="320" w:after="120"/>
      </w:pPr>
      <w:r>
        <w:t>////////////////////////////////////////////////////////////////////////////////////////////////////////////////</w:t>
      </w:r>
    </w:p>
    <w:p>
      <w:pPr>
        <w:pStyle w:val="para2"/>
        <w:spacing w:before="320" w:after="120"/>
      </w:pPr>
      <w:r>
        <w:rPr>
          <w:b/>
          <w:bCs/>
          <w:sz w:val="28"/>
          <w:szCs w:val="28"/>
        </w:rPr>
        <w:t>3. Visión de la solución</w:t>
      </w:r>
      <w:r/>
    </w:p>
    <w:p>
      <w:pPr>
        <w:pStyle w:val="para3"/>
        <w:spacing w:before="240" w:after="80"/>
      </w:pPr>
      <w:r>
        <w:rPr>
          <w:b/>
          <w:bCs/>
          <w:color w:val="1f4e79"/>
          <w:sz w:val="24"/>
          <w:szCs w:val="24"/>
        </w:rPr>
        <w:t>3.1 Frase de visión</w:t>
      </w:r>
      <w:r/>
    </w:p>
    <w:p>
      <w:pPr>
        <w:spacing w:before="80" w:after="80"/>
        <w:jc w:val="both"/>
      </w:pPr>
      <w:r>
        <w:t>Desarrollar una plataforma web intuitiva que permita al personal de Gestión Humana de la IPS registrar, actualizar, consultar y hacer seguimiento al estado de las incapacidades médicas y licencias de maternidad/paternidad de los colaboradores, garantizando trazabilidad, cumplimiento normativo y continuidad operativa, de forma simple y sin requerir conocimientos técnicos avanzados.</w:t>
      </w:r>
    </w:p>
    <w:p>
      <w:pPr>
        <w:pStyle w:val="para3"/>
        <w:spacing w:before="240" w:after="80"/>
      </w:pPr>
      <w:r>
        <w:rPr>
          <w:b/>
          <w:bCs/>
          <w:color w:val="1f4e79"/>
          <w:sz w:val="24"/>
          <w:szCs w:val="24"/>
        </w:rPr>
        <w:t>3.2 Características del sistema</w:t>
      </w:r>
      <w:r/>
    </w:p>
    <w:p>
      <w:pPr>
        <w:spacing w:before="100"/>
      </w:pPr>
      <w:r/>
    </w:p>
    <w:tbl>
      <w:tblPr>
        <w:name w:val="Tabla4"/>
        <w:tabOrder w:val="0"/>
        <w:jc w:val="left"/>
        <w:tblInd w:w="0" w:type="dxa"/>
        <w:tblW w:w="9360" w:type="dxa"/>
      </w:tblPr>
      <w:tblGrid>
        <w:gridCol w:w="800"/>
        <w:gridCol w:w="4660"/>
        <w:gridCol w:w="1000"/>
        <w:gridCol w:w="2900"/>
      </w:tblGrid>
      <w:tr>
        <w:trPr>
          <w:tblHeader w:val="0"/>
          <w:cantSplit w:val="0"/>
          <w:trHeight w:val="0" w:hRule="auto"/>
        </w:trPr>
        <w:tc>
          <w:tcPr>
            <w:tcW w:w="8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ID</w:t>
            </w:r>
            <w:r/>
          </w:p>
        </w:tc>
        <w:tc>
          <w:tcPr>
            <w:tcW w:w="466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Descripción</w:t>
            </w:r>
            <w:r/>
          </w:p>
        </w:tc>
        <w:tc>
          <w:tcPr>
            <w:tcW w:w="10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Prioridad</w:t>
            </w:r>
            <w:r/>
          </w:p>
        </w:tc>
        <w:tc>
          <w:tcPr>
            <w:tcW w:w="29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Obj. de Negocio Asociado</w:t>
            </w:r>
            <w:r/>
          </w:p>
        </w:tc>
      </w:tr>
      <w:tr>
        <w:trPr>
          <w:tblHeader w:val="0"/>
          <w:cantSplit w:val="0"/>
          <w:trHeight w:val="0" w:hRule="auto"/>
        </w:trPr>
        <w:tc>
          <w:tcPr>
            <w:tcW w:w="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01</w:t>
            </w:r>
            <w:r/>
          </w:p>
        </w:tc>
        <w:tc>
          <w:tcPr>
            <w:tcW w:w="46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Sistema web que permite registrar incapacidades médicas y licencias de maternidad/paternidad con la información básica del colaborador (nombre, cédula, EPS/ARL, tipo de incapacidad, fechas, días).</w:t>
            </w:r>
            <w:r/>
          </w:p>
        </w:tc>
        <w:tc>
          <w:tcPr>
            <w:tcW w:w="10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1</w:t>
            </w:r>
            <w:r/>
          </w:p>
        </w:tc>
        <w:tc>
          <w:tcPr>
            <w:tcW w:w="29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01, 03</w:t>
            </w:r>
            <w:r/>
          </w:p>
        </w:tc>
      </w:tr>
      <w:tr>
        <w:trPr>
          <w:tblHeader w:val="0"/>
          <w:cantSplit w:val="0"/>
          <w:trHeight w:val="0" w:hRule="auto"/>
        </w:trPr>
        <w:tc>
          <w:tcPr>
            <w:tcW w:w="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02</w:t>
            </w:r>
            <w:r/>
          </w:p>
        </w:tc>
        <w:tc>
          <w:tcPr>
            <w:tcW w:w="46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Módulo de gestión de estados del ciclo de vida de cada incapacidad: Recibida, Transcrita, Cobrada, Pagada y Rechazada, con posibilidad de actualización por parte del operario.</w:t>
            </w:r>
            <w:r/>
          </w:p>
        </w:tc>
        <w:tc>
          <w:tcPr>
            <w:tcW w:w="10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1</w:t>
            </w:r>
            <w:r/>
          </w:p>
        </w:tc>
        <w:tc>
          <w:tcPr>
            <w:tcW w:w="29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01, 02, 03</w:t>
            </w:r>
            <w:r/>
          </w:p>
        </w:tc>
      </w:tr>
      <w:tr>
        <w:trPr>
          <w:tblHeader w:val="0"/>
          <w:cantSplit w:val="0"/>
          <w:trHeight w:val="0" w:hRule="auto"/>
        </w:trPr>
        <w:tc>
          <w:tcPr>
            <w:tcW w:w="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03</w:t>
            </w:r>
            <w:r/>
          </w:p>
        </w:tc>
        <w:tc>
          <w:tcPr>
            <w:tcW w:w="46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Interfaz de consulta con filtros básicos por estado, fecha, tipo de incapacidad y colaborador, que permita al personal de Gestión Humana recuperar información de forma rápida.</w:t>
            </w:r>
            <w:r/>
          </w:p>
        </w:tc>
        <w:tc>
          <w:tcPr>
            <w:tcW w:w="10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1</w:t>
            </w:r>
            <w:r/>
          </w:p>
        </w:tc>
        <w:tc>
          <w:tcPr>
            <w:tcW w:w="29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04</w:t>
            </w:r>
            <w:r/>
          </w:p>
        </w:tc>
      </w:tr>
      <w:tr>
        <w:trPr>
          <w:tblHeader w:val="0"/>
          <w:cantSplit w:val="0"/>
          <w:trHeight w:val="0" w:hRule="auto"/>
        </w:trPr>
        <w:tc>
          <w:tcPr>
            <w:tcW w:w="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04</w:t>
            </w:r>
            <w:r/>
          </w:p>
        </w:tc>
        <w:tc>
          <w:tcPr>
            <w:tcW w:w="46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Registro de la entidad responsable (EPS o ARL), con control del tiempo de transcripción según los plazos normativos vigentes por entidad (12 meses, 150 días, 3 años, etc.).</w:t>
            </w:r>
            <w:r/>
          </w:p>
        </w:tc>
        <w:tc>
          <w:tcPr>
            <w:tcW w:w="10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2</w:t>
            </w:r>
            <w:r/>
          </w:p>
        </w:tc>
        <w:tc>
          <w:tcPr>
            <w:tcW w:w="29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02, 03</w:t>
            </w:r>
            <w:r/>
          </w:p>
        </w:tc>
      </w:tr>
      <w:tr>
        <w:trPr>
          <w:tblHeader w:val="0"/>
          <w:cantSplit w:val="0"/>
          <w:trHeight w:val="0" w:hRule="auto"/>
        </w:trPr>
        <w:tc>
          <w:tcPr>
            <w:tcW w:w="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05</w:t>
            </w:r>
            <w:r/>
          </w:p>
        </w:tc>
        <w:tc>
          <w:tcPr>
            <w:tcW w:w="46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Clasificación automática de incapacidades según su tipo: enfermedad general, accidente laboral, accidente de tránsito, licencia de maternidad o licencia de paternidad.</w:t>
            </w:r>
            <w:r/>
          </w:p>
        </w:tc>
        <w:tc>
          <w:tcPr>
            <w:tcW w:w="10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2</w:t>
            </w:r>
            <w:r/>
          </w:p>
        </w:tc>
        <w:tc>
          <w:tcPr>
            <w:tcW w:w="29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01, 02</w:t>
            </w:r>
            <w:r/>
          </w:p>
        </w:tc>
      </w:tr>
      <w:tr>
        <w:trPr>
          <w:tblHeader w:val="0"/>
          <w:cantSplit w:val="0"/>
          <w:trHeight w:val="0" w:hRule="auto"/>
        </w:trPr>
        <w:tc>
          <w:tcPr>
            <w:tcW w:w="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06</w:t>
            </w:r>
            <w:r/>
          </w:p>
        </w:tc>
        <w:tc>
          <w:tcPr>
            <w:tcW w:w="46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Módulo de seguimiento al cobro: registro del estado de pago por parte de la EPS/ARL (cobrada, pagada, rechazada) y almacenamiento de observaciones del trámite.</w:t>
            </w:r>
            <w:r/>
          </w:p>
        </w:tc>
        <w:tc>
          <w:tcPr>
            <w:tcW w:w="10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2</w:t>
            </w:r>
            <w:r/>
          </w:p>
        </w:tc>
        <w:tc>
          <w:tcPr>
            <w:tcW w:w="29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02, 03, 04</w:t>
            </w:r>
            <w:r/>
          </w:p>
        </w:tc>
      </w:tr>
      <w:tr>
        <w:trPr>
          <w:tblHeader w:val="0"/>
          <w:cantSplit w:val="0"/>
          <w:trHeight w:val="0" w:hRule="auto"/>
        </w:trPr>
        <w:tc>
          <w:tcPr>
            <w:tcW w:w="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07</w:t>
            </w:r>
            <w:r/>
          </w:p>
        </w:tc>
        <w:tc>
          <w:tcPr>
            <w:tcW w:w="46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Generación de reportes básicos de incapacidades activas, pagadas, rechazadas o pendientes, con posibilidad de exportar o visualizar el listado filtrado.</w:t>
            </w:r>
            <w:r/>
          </w:p>
        </w:tc>
        <w:tc>
          <w:tcPr>
            <w:tcW w:w="10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3</w:t>
            </w:r>
            <w:r/>
          </w:p>
        </w:tc>
        <w:tc>
          <w:tcPr>
            <w:tcW w:w="29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04</w:t>
            </w:r>
            <w:r/>
          </w:p>
        </w:tc>
      </w:tr>
      <w:tr>
        <w:trPr>
          <w:tblHeader w:val="0"/>
          <w:cantSplit w:val="0"/>
          <w:trHeight w:val="0" w:hRule="auto"/>
        </w:trPr>
        <w:tc>
          <w:tcPr>
            <w:tcW w:w="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08</w:t>
            </w:r>
            <w:r/>
          </w:p>
        </w:tc>
        <w:tc>
          <w:tcPr>
            <w:tcW w:w="46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Interfaz diseñada con alta usabilidad, navegación simple e intuitiva, pensada para el personal de Gestión Humana sin necesidad de capacitación técnica avanzada.</w:t>
            </w:r>
            <w:r/>
          </w:p>
        </w:tc>
        <w:tc>
          <w:tcPr>
            <w:tcW w:w="10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4</w:t>
            </w:r>
            <w:r/>
          </w:p>
        </w:tc>
        <w:tc>
          <w:tcPr>
            <w:tcW w:w="29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01, 02, 03, 04</w:t>
            </w:r>
            <w:r/>
          </w:p>
        </w:tc>
      </w:tr>
      <w:tr>
        <w:trPr>
          <w:tblHeader w:val="0"/>
          <w:cantSplit w:val="0"/>
          <w:trHeight w:val="0" w:hRule="auto"/>
        </w:trPr>
        <w:tc>
          <w:tcPr>
            <w:tcW w:w="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09</w:t>
            </w:r>
            <w:r/>
          </w:p>
        </w:tc>
        <w:tc>
          <w:tcPr>
            <w:tcW w:w="46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Uso de un modelo de inteligencia artificial para el análisis de información de las incapacidades registradas, apoyando la detección de patrones y tendencias.</w:t>
            </w:r>
            <w:r/>
          </w:p>
        </w:tc>
        <w:tc>
          <w:tcPr>
            <w:tcW w:w="10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5</w:t>
            </w:r>
            <w:r/>
          </w:p>
        </w:tc>
        <w:tc>
          <w:tcPr>
            <w:tcW w:w="29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04</w:t>
            </w:r>
            <w:r/>
          </w:p>
        </w:tc>
      </w:tr>
    </w:tbl>
    <w:p>
      <w:pPr>
        <w:spacing w:before="100"/>
      </w:pPr>
      <w:r/>
    </w:p>
    <w:p>
      <w:pPr>
        <w:pStyle w:val="para2"/>
        <w:spacing w:before="320" w:after="120"/>
      </w:pPr>
      <w:r>
        <w:rPr>
          <w:b/>
          <w:bCs/>
          <w:sz w:val="28"/>
          <w:szCs w:val="28"/>
        </w:rPr>
        <w:t>4. Alcance y limitaciones</w:t>
      </w:r>
      <w:r/>
    </w:p>
    <w:p>
      <w:pPr>
        <w:pStyle w:val="para3"/>
        <w:spacing w:before="240" w:after="80"/>
      </w:pPr>
      <w:r>
        <w:rPr>
          <w:b/>
          <w:bCs/>
          <w:color w:val="1f4e79"/>
          <w:sz w:val="24"/>
          <w:szCs w:val="24"/>
        </w:rPr>
        <w:t>4.1 Alcance</w:t>
      </w:r>
      <w:r/>
    </w:p>
    <w:p>
      <w:pPr>
        <w:spacing w:before="100"/>
      </w:pPr>
      <w:r/>
    </w:p>
    <w:tbl>
      <w:tblPr>
        <w:name w:val="Tabla5"/>
        <w:tabOrder w:val="0"/>
        <w:jc w:val="left"/>
        <w:tblInd w:w="0" w:type="dxa"/>
        <w:tblW w:w="9360" w:type="dxa"/>
      </w:tblPr>
      <w:tblGrid>
        <w:gridCol w:w="1400"/>
        <w:gridCol w:w="4760"/>
        <w:gridCol w:w="3200"/>
      </w:tblGrid>
      <w:tr>
        <w:trPr>
          <w:tblHeader w:val="0"/>
          <w:cantSplit w:val="0"/>
          <w:trHeight w:val="0" w:hRule="auto"/>
        </w:trPr>
        <w:tc>
          <w:tcPr>
            <w:tcW w:w="14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Número de Release</w:t>
            </w:r>
            <w:r/>
          </w:p>
        </w:tc>
        <w:tc>
          <w:tcPr>
            <w:tcW w:w="476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Tema principal</w:t>
            </w:r>
            <w:r/>
          </w:p>
        </w:tc>
        <w:tc>
          <w:tcPr>
            <w:tcW w:w="32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ID de características a incluir</w:t>
            </w:r>
            <w:r/>
          </w:p>
        </w:tc>
      </w:tr>
      <w:tr>
        <w:trPr>
          <w:tblHeader w:val="0"/>
          <w:cantSplit w:val="0"/>
          <w:trHeight w:val="0" w:hRule="auto"/>
        </w:trPr>
        <w:tc>
          <w:tcPr>
            <w:tcW w:w="14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1.0</w:t>
            </w:r>
            <w:r/>
          </w:p>
        </w:tc>
        <w:tc>
          <w:tcPr>
            <w:tcW w:w="47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Funcionalidad básica: registro de incapacidades, gestión de estados, consulta con filtros y clasificación por tipo.</w:t>
            </w:r>
            <w:r/>
          </w:p>
        </w:tc>
        <w:tc>
          <w:tcPr>
            <w:tcW w:w="3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01, 02, 03, 05</w:t>
            </w:r>
            <w:r/>
          </w:p>
        </w:tc>
      </w:tr>
      <w:tr>
        <w:trPr>
          <w:tblHeader w:val="0"/>
          <w:cantSplit w:val="0"/>
          <w:trHeight w:val="0" w:hRule="auto"/>
        </w:trPr>
        <w:tc>
          <w:tcPr>
            <w:tcW w:w="14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2.0</w:t>
            </w:r>
            <w:r/>
          </w:p>
        </w:tc>
        <w:tc>
          <w:tcPr>
            <w:tcW w:w="47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Estabilidad del sistema, control normativo de tiempos de transcripción, seguimiento al cobro y registro de pagos.</w:t>
            </w:r>
            <w:r/>
          </w:p>
        </w:tc>
        <w:tc>
          <w:tcPr>
            <w:tcW w:w="3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04, 06</w:t>
            </w:r>
            <w:r/>
          </w:p>
        </w:tc>
      </w:tr>
      <w:tr>
        <w:trPr>
          <w:tblHeader w:val="0"/>
          <w:cantSplit w:val="0"/>
          <w:trHeight w:val="0" w:hRule="auto"/>
        </w:trPr>
        <w:tc>
          <w:tcPr>
            <w:tcW w:w="14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3.0</w:t>
            </w:r>
            <w:r/>
          </w:p>
        </w:tc>
        <w:tc>
          <w:tcPr>
            <w:tcW w:w="47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Reportes, visibilidad de información, comprensión rápida por parte del personal y análisis con inteligencia artificial.</w:t>
            </w:r>
            <w:r/>
          </w:p>
        </w:tc>
        <w:tc>
          <w:tcPr>
            <w:tcW w:w="3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07, 08, 09</w:t>
            </w:r>
            <w:r/>
          </w:p>
        </w:tc>
      </w:tr>
    </w:tbl>
    <w:p>
      <w:pPr>
        <w:spacing w:before="200"/>
      </w:pPr>
      <w:r/>
    </w:p>
    <w:p>
      <w:pPr>
        <w:spacing w:before="80" w:after="80"/>
        <w:jc w:val="both"/>
      </w:pPr>
      <w:r>
        <w:rPr>
          <w:b/>
          <w:bCs/>
        </w:rPr>
        <w:t>El sistema NO contempla dentro de su alcance los siguientes elementos:</w:t>
      </w:r>
      <w:r/>
    </w:p>
    <w:p>
      <w:pPr>
        <w:pStyle w:val="para9"/>
        <w:numPr>
          <w:ilvl w:val="0"/>
          <w:numId w:val="4"/>
        </w:numPr>
        <w:ind w:left="720" w:hanging="360"/>
        <w:spacing w:before="60" w:after="60"/>
      </w:pPr>
      <w:r>
        <w:t>Reemplazar los procesos formales de transcripción ante EPS y ARL.</w:t>
      </w:r>
    </w:p>
    <w:p>
      <w:pPr>
        <w:pStyle w:val="para9"/>
        <w:numPr>
          <w:ilvl w:val="0"/>
          <w:numId w:val="4"/>
        </w:numPr>
        <w:ind w:left="720" w:hanging="360"/>
        <w:spacing w:before="60" w:after="60"/>
      </w:pPr>
      <w:r>
        <w:t>Gestionar el proceso de selección, contratación o liquidación de personal (nómina).</w:t>
      </w:r>
    </w:p>
    <w:p>
      <w:pPr>
        <w:pStyle w:val="para9"/>
        <w:numPr>
          <w:ilvl w:val="0"/>
          <w:numId w:val="4"/>
        </w:numPr>
        <w:ind w:left="720" w:hanging="360"/>
        <w:spacing w:before="60" w:after="60"/>
      </w:pPr>
      <w:r>
        <w:t>Integrarse directamente con los portales de las entidades promotoras de salud.</w:t>
      </w:r>
    </w:p>
    <w:p>
      <w:pPr>
        <w:pStyle w:val="para9"/>
        <w:numPr>
          <w:ilvl w:val="0"/>
          <w:numId w:val="4"/>
        </w:numPr>
        <w:ind w:left="720" w:hanging="360"/>
        <w:spacing w:before="60" w:after="60"/>
      </w:pPr>
      <w:r>
        <w:t>Generar liquidaciones de contratos ni desprendibles de pago de nómina.</w:t>
      </w:r>
    </w:p>
    <w:p>
      <w:pPr>
        <w:pStyle w:val="para9"/>
        <w:numPr>
          <w:ilvl w:val="0"/>
          <w:numId w:val="4"/>
        </w:numPr>
        <w:ind w:left="720" w:hanging="360"/>
        <w:spacing w:before="60" w:after="60"/>
      </w:pPr>
      <w:r>
        <w:t>Almacenar historia clínica ni epicrisis de forma permanente en el sistema.</w:t>
      </w:r>
    </w:p>
    <w:p>
      <w:pPr>
        <w:pStyle w:val="para2"/>
        <w:spacing w:before="320" w:after="120"/>
      </w:pPr>
      <w:r>
        <w:rPr>
          <w:b/>
          <w:bCs/>
          <w:sz w:val="28"/>
          <w:szCs w:val="28"/>
        </w:rPr>
        <w:t>5. Contexto del sistema</w:t>
      </w:r>
      <w:r/>
    </w:p>
    <w:p>
      <w:pPr>
        <w:pStyle w:val="para3"/>
        <w:spacing w:before="240" w:after="80"/>
      </w:pPr>
      <w:r>
        <w:rPr>
          <w:b/>
          <w:bCs/>
          <w:color w:val="1f4e79"/>
          <w:sz w:val="24"/>
          <w:szCs w:val="24"/>
        </w:rPr>
        <w:t>5.1 Resumen de involucrados</w:t>
      </w:r>
      <w:r/>
    </w:p>
    <w:p>
      <w:pPr>
        <w:spacing w:before="100"/>
      </w:pPr>
      <w:r/>
    </w:p>
    <w:tbl>
      <w:tblPr>
        <w:name w:val="Tabla6"/>
        <w:tabOrder w:val="0"/>
        <w:jc w:val="left"/>
        <w:tblInd w:w="0" w:type="dxa"/>
        <w:tblW w:w="9360" w:type="dxa"/>
      </w:tblPr>
      <w:tblGrid>
        <w:gridCol w:w="2200"/>
        <w:gridCol w:w="3200"/>
        <w:gridCol w:w="3960"/>
      </w:tblGrid>
      <w:tr>
        <w:trPr>
          <w:tblHeader w:val="0"/>
          <w:cantSplit w:val="0"/>
          <w:trHeight w:val="0" w:hRule="auto"/>
        </w:trPr>
        <w:tc>
          <w:tcPr>
            <w:tcW w:w="22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Nombre</w:t>
            </w:r>
            <w:r/>
          </w:p>
        </w:tc>
        <w:tc>
          <w:tcPr>
            <w:tcW w:w="32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Descripción</w:t>
            </w:r>
            <w:r/>
          </w:p>
        </w:tc>
        <w:tc>
          <w:tcPr>
            <w:tcW w:w="396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Responsabilidades</w:t>
            </w:r>
            <w:r/>
          </w:p>
        </w:tc>
      </w:tr>
      <w:tr>
        <w:trPr>
          <w:tblHeader w:val="0"/>
          <w:cantSplit w:val="0"/>
          <w:trHeight w:val="0" w:hRule="auto"/>
        </w:trPr>
        <w:tc>
          <w:tcPr>
            <w:tcW w:w="2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Personal de Gestión Humana</w:t>
            </w:r>
            <w:r/>
          </w:p>
        </w:tc>
        <w:tc>
          <w:tcPr>
            <w:tcW w:w="3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Son los usuarios principales del sistema. Registran, actualizan y consultan las incapacidades.</w:t>
            </w:r>
            <w:r/>
          </w:p>
        </w:tc>
        <w:tc>
          <w:tcPr>
            <w:tcW w:w="39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Registrar incapacidades; actualizar estados; consultar información; generar reportes.</w:t>
            </w:r>
            <w:r/>
          </w:p>
        </w:tc>
      </w:tr>
      <w:tr>
        <w:trPr>
          <w:tblHeader w:val="0"/>
          <w:cantSplit w:val="0"/>
          <w:trHeight w:val="0" w:hRule="auto"/>
        </w:trPr>
        <w:tc>
          <w:tcPr>
            <w:tcW w:w="2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Desarrolladores (Inca Soft)</w:t>
            </w:r>
            <w:r/>
          </w:p>
        </w:tc>
        <w:tc>
          <w:tcPr>
            <w:tcW w:w="3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Equipo encargado del análisis, diseño, implementación y pruebas del sistema.</w:t>
            </w:r>
            <w:r/>
          </w:p>
        </w:tc>
        <w:tc>
          <w:tcPr>
            <w:tcW w:w="39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Construir el sistema conforme al alcance definido; documentar el código; realizar pruebas; entregar manuales.</w:t>
            </w:r>
            <w:r/>
          </w:p>
        </w:tc>
      </w:tr>
      <w:tr>
        <w:trPr>
          <w:tblHeader w:val="0"/>
          <w:cantSplit w:val="0"/>
          <w:trHeight w:val="0" w:hRule="auto"/>
        </w:trPr>
        <w:tc>
          <w:tcPr>
            <w:tcW w:w="2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Coordinador de Admón. de Personal</w:t>
            </w:r>
            <w:r/>
          </w:p>
        </w:tc>
        <w:tc>
          <w:tcPr>
            <w:tcW w:w="3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Supervisa el proceso de gestión de incapacidades y aprueba flujos y reportes.</w:t>
            </w:r>
            <w:r/>
          </w:p>
        </w:tc>
        <w:tc>
          <w:tcPr>
            <w:tcW w:w="39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Validar el flujo de estados; aprobar decisiones de cobro jurídico; revisar reportes mensuales.</w:t>
            </w:r>
            <w:r/>
          </w:p>
        </w:tc>
      </w:tr>
      <w:tr>
        <w:trPr>
          <w:tblHeader w:val="0"/>
          <w:cantSplit w:val="0"/>
          <w:trHeight w:val="0" w:hRule="auto"/>
        </w:trPr>
        <w:tc>
          <w:tcPr>
            <w:tcW w:w="2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IPS (Empresa cliente)</w:t>
            </w:r>
            <w:r/>
          </w:p>
        </w:tc>
        <w:tc>
          <w:tcPr>
            <w:tcW w:w="3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Institución prestadora de servicios de salud para la que se desarrolla el sistema.</w:t>
            </w:r>
            <w:r/>
          </w:p>
        </w:tc>
        <w:tc>
          <w:tcPr>
            <w:tcW w:w="39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Proporcionar información clara de sus necesidades; participar en reuniones de validación; aprobar cambios.</w:t>
            </w:r>
            <w:r/>
          </w:p>
        </w:tc>
      </w:tr>
      <w:tr>
        <w:trPr>
          <w:tblHeader w:val="0"/>
          <w:cantSplit w:val="0"/>
          <w:trHeight w:val="0" w:hRule="auto"/>
        </w:trPr>
        <w:tc>
          <w:tcPr>
            <w:tcW w:w="2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Colaboradores de la IPS</w:t>
            </w:r>
            <w:r/>
          </w:p>
        </w:tc>
        <w:tc>
          <w:tcPr>
            <w:tcW w:w="32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Trabajadores cuyos datos de incapacidad son gestionados en el sistema.</w:t>
            </w:r>
            <w:r/>
          </w:p>
        </w:tc>
        <w:tc>
          <w:tcPr>
            <w:tcW w:w="39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Remitir oportunamente la documentación de incapacidad según los canales establecidos.</w:t>
            </w:r>
            <w:r/>
          </w:p>
        </w:tc>
      </w:tr>
      <w:tr>
        <w:trPr>
          <w:tblHeader w:val="0"/>
          <w:cantSplit w:val="0"/>
          <w:trHeight w:val="0" w:hRule="auto"/>
        </w:trPr>
        <w:tc>
          <w:tcPr>
            <w:tcW w:w="2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EPS / ARL</w:t>
            </w:r>
            <w:r/>
          </w:p>
        </w:tc>
        <w:tc>
          <w:tcPr>
            <w:tcW w:w="32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Entidades externas que validan, aprueban y realizan los pagos de las incapacidades.</w:t>
            </w:r>
            <w:r/>
          </w:p>
        </w:tc>
        <w:tc>
          <w:tcPr>
            <w:tcW w:w="39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Notificar estados de incapacidades; realizar pagos dentro de los plazos normativos.</w:t>
            </w:r>
            <w:r/>
          </w:p>
        </w:tc>
      </w:tr>
    </w:tbl>
    <w:p>
      <w:pPr>
        <w:spacing w:before="200"/>
      </w:pPr>
      <w:r/>
    </w:p>
    <w:p>
      <w:pPr>
        <w:pStyle w:val="para3"/>
        <w:spacing w:before="240" w:after="80"/>
      </w:pPr>
      <w:r>
        <w:rPr>
          <w:b/>
          <w:bCs/>
          <w:color w:val="1f4e79"/>
          <w:sz w:val="24"/>
          <w:szCs w:val="24"/>
        </w:rPr>
        <w:t>5.2 Diagrama de contexto</w:t>
      </w:r>
      <w:r/>
    </w:p>
    <w:p>
      <w:pPr>
        <w:spacing w:before="80" w:after="80"/>
        <w:jc w:val="both"/>
      </w:pPr>
      <w:r>
        <w:t>El sistema Inca Soft Solutions se ubica en el centro del flujo de información de gestión de incapacidades. Las entidades externas con las que interactúa son:</w:t>
      </w:r>
    </w:p>
    <w:p>
      <w:pPr>
        <w:pStyle w:val="para9"/>
        <w:numPr>
          <w:ilvl w:val="0"/>
          <w:numId w:val="4"/>
        </w:numPr>
        <w:ind w:left="720" w:hanging="360"/>
        <w:spacing w:before="60" w:after="60"/>
      </w:pPr>
      <w:r>
        <w:t>Colaboradores: entregan la documentación física y notifican la novedad al sistema.</w:t>
      </w:r>
    </w:p>
    <w:p>
      <w:pPr>
        <w:pStyle w:val="para9"/>
        <w:numPr>
          <w:ilvl w:val="0"/>
          <w:numId w:val="4"/>
        </w:numPr>
        <w:ind w:left="720" w:hanging="360"/>
        <w:spacing w:before="60" w:after="60"/>
      </w:pPr>
      <w:r>
        <w:t>Personal de Gestión Humana: ingresa, actualiza y consulta la información en el sistema.</w:t>
      </w:r>
    </w:p>
    <w:p>
      <w:pPr>
        <w:pStyle w:val="para9"/>
        <w:numPr>
          <w:ilvl w:val="0"/>
          <w:numId w:val="4"/>
        </w:numPr>
        <w:ind w:left="720" w:hanging="360"/>
        <w:spacing w:before="60" w:after="60"/>
      </w:pPr>
      <w:r>
        <w:t>EPS / ARL: validan, aprueban o rechazan incapacidades y notifican el estado de pago.</w:t>
      </w:r>
    </w:p>
    <w:p>
      <w:pPr>
        <w:pStyle w:val="para9"/>
        <w:numPr>
          <w:ilvl w:val="0"/>
          <w:numId w:val="4"/>
        </w:numPr>
        <w:ind w:left="720" w:hanging="360"/>
        <w:spacing w:before="60" w:after="60"/>
      </w:pPr>
      <w:r>
        <w:t>Coordinación de Admón. de Personal: recibe reportes y supervisa el proceso de cobro.</w:t>
      </w:r>
    </w:p>
    <w:p>
      <w:pPr>
        <w:pStyle w:val="para9"/>
        <w:numPr>
          <w:ilvl w:val="0"/>
          <w:numId w:val="4"/>
        </w:numPr>
        <w:ind w:left="720" w:hanging="360"/>
        <w:spacing w:before="60" w:after="60"/>
      </w:pPr>
      <w:r>
        <w:t>Contabilidad: recibe información de pagos recibidos para conciliación.</w:t>
      </w:r>
    </w:p>
    <w:p>
      <w:pPr>
        <w:pStyle w:val="para9"/>
        <w:numPr>
          <w:ilvl w:val="0"/>
          <w:numId w:val="4"/>
        </w:numPr>
        <w:ind w:left="720" w:hanging="360"/>
        <w:spacing w:before="60" w:after="60"/>
      </w:pPr>
      <w:r>
        <w:t>Gestión Documental: recibe el archivo final de incapacidades pagadas.</w:t>
      </w:r>
    </w:p>
    <w:p>
      <w:pPr>
        <w:spacing w:before="120"/>
      </w:pPr>
      <w:r/>
    </w:p>
    <w:p>
      <w:pPr>
        <w:spacing w:before="80" w:after="80"/>
        <w:jc w:val="both"/>
      </w:pPr>
      <w:r>
        <w:rPr>
          <w:i/>
          <w:iCs/>
          <w:color w:val="777777"/>
        </w:rPr>
        <w:t>[Nota: El diagrama de contexto gráfico será incorporado en la siguiente entrega junto con los diagramas UML del sistema, conforme al cronograma del proyecto — Entrega 2: 25 de febrero de 2026.]</w:t>
      </w:r>
      <w:r/>
    </w:p>
    <w:p>
      <w:pPr>
        <w:pStyle w:val="para3"/>
        <w:spacing w:before="240" w:after="80"/>
      </w:pPr>
      <w:r>
        <w:rPr>
          <w:b/>
          <w:bCs/>
          <w:color w:val="1f4e79"/>
          <w:sz w:val="24"/>
          <w:szCs w:val="24"/>
        </w:rPr>
        <w:t>5.3 Entorno de operación</w:t>
      </w:r>
      <w:r/>
    </w:p>
    <w:p>
      <w:pPr>
        <w:spacing w:before="80" w:after="80"/>
        <w:jc w:val="both"/>
      </w:pPr>
      <w:r>
        <w:t>El sistema Inca Soft Solutions es una aplicación web que operará desde navegadores de escritorio en los equipos del área de Gestión Humana de la IPS. Se deberán soportar los siguientes navegadores:</w:t>
      </w:r>
    </w:p>
    <w:p>
      <w:pPr>
        <w:pStyle w:val="para9"/>
        <w:numPr>
          <w:ilvl w:val="0"/>
          <w:numId w:val="4"/>
        </w:numPr>
        <w:ind w:left="720" w:hanging="360"/>
        <w:spacing w:before="60" w:after="60"/>
      </w:pPr>
      <w:r>
        <w:t>Google Chrome (versión actual y las dos anteriores)</w:t>
      </w:r>
    </w:p>
    <w:p>
      <w:pPr>
        <w:pStyle w:val="para9"/>
        <w:numPr>
          <w:ilvl w:val="0"/>
          <w:numId w:val="4"/>
        </w:numPr>
        <w:ind w:left="720" w:hanging="360"/>
        <w:spacing w:before="60" w:after="60"/>
      </w:pPr>
      <w:r>
        <w:t>Microsoft Edge</w:t>
      </w:r>
    </w:p>
    <w:p>
      <w:pPr>
        <w:pStyle w:val="para9"/>
        <w:numPr>
          <w:ilvl w:val="0"/>
          <w:numId w:val="4"/>
        </w:numPr>
        <w:ind w:left="720" w:hanging="360"/>
        <w:spacing w:before="60" w:after="60"/>
      </w:pPr>
      <w:r>
        <w:t>Mozilla Firefox</w:t>
      </w:r>
    </w:p>
    <w:p>
      <w:pPr>
        <w:pStyle w:val="para9"/>
        <w:numPr>
          <w:ilvl w:val="0"/>
          <w:numId w:val="4"/>
        </w:numPr>
        <w:ind w:left="720" w:hanging="360"/>
        <w:spacing w:before="60" w:after="60"/>
      </w:pPr>
      <w:r>
        <w:t>Opera</w:t>
      </w:r>
    </w:p>
    <w:p>
      <w:pPr>
        <w:pStyle w:val="para9"/>
        <w:numPr>
          <w:ilvl w:val="0"/>
          <w:numId w:val="4"/>
        </w:numPr>
        <w:ind w:left="720" w:hanging="360"/>
        <w:spacing w:before="60" w:after="60"/>
      </w:pPr>
      <w:r>
        <w:t>Brave</w:t>
      </w:r>
    </w:p>
    <w:p>
      <w:pPr>
        <w:pStyle w:val="para9"/>
        <w:numPr>
          <w:ilvl w:val="0"/>
          <w:numId w:val="4"/>
        </w:numPr>
        <w:ind w:left="720" w:hanging="360"/>
        <w:spacing w:before="60" w:after="60"/>
      </w:pPr>
      <w:r>
        <w:t>Safari (macOS)</w:t>
      </w:r>
    </w:p>
    <w:p>
      <w:pPr>
        <w:spacing w:before="80"/>
      </w:pPr>
      <w:r/>
    </w:p>
    <w:p>
      <w:pPr>
        <w:spacing w:before="80" w:after="80"/>
        <w:jc w:val="both"/>
      </w:pPr>
      <w:r>
        <w:t>El sistema no será optimizado para dispositivos móviles en su versión inicial (Release 1.0), dado que el uso principal se realizará desde equipos de cómputo empresariales. La aplicación requerirá conexión a internet para su funcionamiento, ya que los datos serán almacenados en una base de datos alojada en servidor. Las tecnologías específicas de implementación (lenguajes de programación, frameworks, motor de base de datos) serán definidas y documentadas en la Entrega 2 del proyecto.</w:t>
      </w:r>
    </w:p>
    <w:p>
      <w:pPr>
        <w:pStyle w:val="para2"/>
        <w:spacing w:before="320" w:after="120"/>
      </w:pPr>
      <w:r>
        <w:rPr>
          <w:b/>
          <w:bCs/>
          <w:sz w:val="28"/>
          <w:szCs w:val="28"/>
        </w:rPr>
        <w:t>6. Información adicional</w:t>
      </w:r>
      <w:r/>
    </w:p>
    <w:p>
      <w:pPr>
        <w:pStyle w:val="para3"/>
        <w:spacing w:before="240" w:after="80"/>
      </w:pPr>
      <w:r>
        <w:rPr>
          <w:b/>
          <w:bCs/>
          <w:color w:val="1f4e79"/>
          <w:sz w:val="24"/>
          <w:szCs w:val="24"/>
        </w:rPr>
        <w:t>6.1 Criterios de aceptación del proyecto</w:t>
      </w:r>
      <w:r/>
    </w:p>
    <w:p>
      <w:pPr>
        <w:pStyle w:val="para9"/>
        <w:numPr>
          <w:ilvl w:val="0"/>
          <w:numId w:val="4"/>
        </w:numPr>
        <w:ind w:left="720" w:hanging="360"/>
        <w:spacing w:before="60" w:after="60"/>
      </w:pPr>
      <w:r>
        <w:t>Prototipo funcional que permita registrar, actualizar el estado y consultar incapacidades.</w:t>
      </w:r>
    </w:p>
    <w:p>
      <w:pPr>
        <w:pStyle w:val="para9"/>
        <w:numPr>
          <w:ilvl w:val="0"/>
          <w:numId w:val="4"/>
        </w:numPr>
        <w:ind w:left="720" w:hanging="360"/>
        <w:spacing w:before="60" w:after="60"/>
      </w:pPr>
      <w:r>
        <w:t>Pruebas básicas ejecutadas y documentadas que validen el correcto funcionamiento del sistema.</w:t>
      </w:r>
    </w:p>
    <w:p>
      <w:pPr>
        <w:pStyle w:val="para9"/>
        <w:numPr>
          <w:ilvl w:val="0"/>
          <w:numId w:val="4"/>
        </w:numPr>
        <w:ind w:left="720" w:hanging="360"/>
        <w:spacing w:before="60" w:after="60"/>
      </w:pPr>
      <w:r>
        <w:t>Manual de usuario claro y conciso entregado al cliente.</w:t>
      </w:r>
    </w:p>
    <w:p>
      <w:pPr>
        <w:pStyle w:val="para9"/>
        <w:numPr>
          <w:ilvl w:val="0"/>
          <w:numId w:val="4"/>
        </w:numPr>
        <w:ind w:left="720" w:hanging="360"/>
        <w:spacing w:before="60" w:after="60"/>
      </w:pPr>
      <w:r>
        <w:t>Código fuente entregado y documentado.</w:t>
      </w:r>
    </w:p>
    <w:p>
      <w:pPr>
        <w:pStyle w:val="para9"/>
        <w:numPr>
          <w:ilvl w:val="0"/>
          <w:numId w:val="4"/>
        </w:numPr>
        <w:ind w:left="720" w:hanging="360"/>
        <w:spacing w:before="60" w:after="60"/>
      </w:pPr>
      <w:r>
        <w:t>Sistema con alta usabilidad: el personal de Gestión Humana puede operarlo sin capacitación técnica avanzada.</w:t>
      </w:r>
    </w:p>
    <w:p>
      <w:pPr>
        <w:pStyle w:val="para9"/>
        <w:numPr>
          <w:ilvl w:val="0"/>
          <w:numId w:val="4"/>
        </w:numPr>
        <w:ind w:left="720" w:hanging="360"/>
        <w:spacing w:before="60" w:after="60"/>
      </w:pPr>
      <w:r>
        <w:t>El flujo de estados (Recibida → Transcrita → Cobrada → Pagada / Rechazada) opera correctamente.</w:t>
      </w:r>
    </w:p>
    <w:p>
      <w:pPr>
        <w:pStyle w:val="para9"/>
        <w:numPr>
          <w:ilvl w:val="0"/>
          <w:numId w:val="4"/>
        </w:numPr>
        <w:ind w:left="720" w:hanging="360"/>
        <w:spacing w:before="60" w:after="60"/>
      </w:pPr>
      <w:r>
        <w:t>Disposición del equipo para soporte técnico posterior a la entrega final.</w:t>
      </w:r>
    </w:p>
    <w:p>
      <w:pPr>
        <w:spacing w:before="120"/>
      </w:pPr>
      <w:r/>
    </w:p>
    <w:p>
      <w:pPr>
        <w:pStyle w:val="para3"/>
        <w:spacing w:before="240" w:after="80"/>
      </w:pPr>
      <w:r>
        <w:rPr>
          <w:b/>
          <w:bCs/>
          <w:color w:val="1f4e79"/>
          <w:sz w:val="24"/>
          <w:szCs w:val="24"/>
        </w:rPr>
        <w:t>6.2 Riesgos identificados</w:t>
      </w:r>
      <w:r/>
    </w:p>
    <w:p>
      <w:pPr>
        <w:spacing w:before="100"/>
      </w:pPr>
      <w:r/>
    </w:p>
    <w:tbl>
      <w:tblPr>
        <w:name w:val="Tabla7"/>
        <w:tabOrder w:val="0"/>
        <w:jc w:val="left"/>
        <w:tblInd w:w="0" w:type="dxa"/>
        <w:tblW w:w="9360" w:type="dxa"/>
      </w:tblPr>
      <w:tblGrid>
        <w:gridCol w:w="3600"/>
        <w:gridCol w:w="1800"/>
        <w:gridCol w:w="3960"/>
      </w:tblGrid>
      <w:tr>
        <w:trPr>
          <w:tblHeader w:val="0"/>
          <w:cantSplit w:val="0"/>
          <w:trHeight w:val="0" w:hRule="auto"/>
        </w:trPr>
        <w:tc>
          <w:tcPr>
            <w:tcW w:w="36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Riesgo</w:t>
            </w:r>
            <w:r/>
          </w:p>
        </w:tc>
        <w:tc>
          <w:tcPr>
            <w:tcW w:w="18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Impacto</w:t>
            </w:r>
            <w:r/>
          </w:p>
        </w:tc>
        <w:tc>
          <w:tcPr>
            <w:tcW w:w="396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Mitigación</w:t>
            </w:r>
            <w:r/>
          </w:p>
        </w:tc>
      </w:tr>
      <w:tr>
        <w:trPr>
          <w:tblHeader w:val="0"/>
          <w:cantSplit w:val="0"/>
          <w:trHeight w:val="0" w:hRule="auto"/>
        </w:trPr>
        <w:tc>
          <w:tcPr>
            <w:tcW w:w="36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Curva de aprendizaje del personal de Gestión Humana para usar el sistema.</w:t>
            </w:r>
            <w:r/>
          </w:p>
        </w:tc>
        <w:tc>
          <w:tcPr>
            <w:tcW w:w="1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Medio</w:t>
            </w:r>
            <w:r/>
          </w:p>
        </w:tc>
        <w:tc>
          <w:tcPr>
            <w:tcW w:w="39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Diseñar interfaz intuitiva y elaborar manual de usuario detallado.</w:t>
            </w:r>
            <w:r/>
          </w:p>
        </w:tc>
      </w:tr>
      <w:tr>
        <w:trPr>
          <w:tblHeader w:val="0"/>
          <w:cantSplit w:val="0"/>
          <w:trHeight w:val="0" w:hRule="auto"/>
        </w:trPr>
        <w:tc>
          <w:tcPr>
            <w:tcW w:w="36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Mal diseño o implementación del software que no cumpla los requerimientos.</w:t>
            </w:r>
            <w:r/>
          </w:p>
        </w:tc>
        <w:tc>
          <w:tcPr>
            <w:tcW w:w="1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Alto</w:t>
            </w:r>
            <w:r/>
          </w:p>
        </w:tc>
        <w:tc>
          <w:tcPr>
            <w:tcW w:w="39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Revisiones periódicas con el cliente y pruebas funcionales en cada entrega.</w:t>
            </w:r>
            <w:r/>
          </w:p>
        </w:tc>
      </w:tr>
      <w:tr>
        <w:trPr>
          <w:tblHeader w:val="0"/>
          <w:cantSplit w:val="0"/>
          <w:trHeight w:val="0" w:hRule="auto"/>
        </w:trPr>
        <w:tc>
          <w:tcPr>
            <w:tcW w:w="36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Falta de validación o retroalimentación oportuna por parte del cliente.</w:t>
            </w:r>
            <w:r/>
          </w:p>
        </w:tc>
        <w:tc>
          <w:tcPr>
            <w:tcW w:w="1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Alto</w:t>
            </w:r>
            <w:r/>
          </w:p>
        </w:tc>
        <w:tc>
          <w:tcPr>
            <w:tcW w:w="39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Establecer reuniones de seguimiento en cada hito del cronograma.</w:t>
            </w:r>
            <w:r/>
          </w:p>
        </w:tc>
      </w:tr>
      <w:tr>
        <w:trPr>
          <w:tblHeader w:val="0"/>
          <w:cantSplit w:val="0"/>
          <w:trHeight w:val="0" w:hRule="auto"/>
        </w:trPr>
        <w:tc>
          <w:tcPr>
            <w:tcW w:w="36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Problemas en la infraestructura TI para el despliegue del sistema.</w:t>
            </w:r>
            <w:r/>
          </w:p>
        </w:tc>
        <w:tc>
          <w:tcPr>
            <w:tcW w:w="1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Medio</w:t>
            </w:r>
            <w:r/>
          </w:p>
        </w:tc>
        <w:tc>
          <w:tcPr>
            <w:tcW w:w="39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Definir y documentar los requisitos de infraestructura desde la Entrega 2.</w:t>
            </w:r>
            <w:r/>
          </w:p>
        </w:tc>
      </w:tr>
      <w:tr>
        <w:trPr>
          <w:tblHeader w:val="0"/>
          <w:cantSplit w:val="0"/>
          <w:trHeight w:val="0" w:hRule="auto"/>
        </w:trPr>
        <w:tc>
          <w:tcPr>
            <w:tcW w:w="36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Incumplimiento normativo por manejo incorrecto de los datos de incapacidades.</w:t>
            </w:r>
            <w:r/>
          </w:p>
        </w:tc>
        <w:tc>
          <w:tcPr>
            <w:tcW w:w="1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Alto</w:t>
            </w:r>
            <w:r/>
          </w:p>
        </w:tc>
        <w:tc>
          <w:tcPr>
            <w:tcW w:w="39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Validar el flujo del sistema contra el procedimiento de Gestión Humana vigente (Procedimiento Incapacidades v001).</w:t>
            </w:r>
            <w:r/>
          </w:p>
        </w:tc>
      </w:tr>
    </w:tbl>
    <w:p>
      <w:pPr>
        <w:spacing w:before="200"/>
      </w:pPr>
      <w:r/>
    </w:p>
    <w:p>
      <w:pPr>
        <w:pStyle w:val="para3"/>
        <w:spacing w:before="240" w:after="80"/>
      </w:pPr>
      <w:r>
        <w:rPr>
          <w:b/>
          <w:bCs/>
          <w:color w:val="1f4e79"/>
          <w:sz w:val="24"/>
          <w:szCs w:val="24"/>
        </w:rPr>
        <w:t>6.3 Cronograma de entregas</w:t>
      </w:r>
      <w:r/>
    </w:p>
    <w:p>
      <w:pPr>
        <w:spacing w:before="100"/>
      </w:pPr>
      <w:r/>
    </w:p>
    <w:tbl>
      <w:tblPr>
        <w:name w:val="Tabla8"/>
        <w:tabOrder w:val="0"/>
        <w:jc w:val="left"/>
        <w:tblInd w:w="0" w:type="dxa"/>
        <w:tblW w:w="9360" w:type="dxa"/>
      </w:tblPr>
      <w:tblGrid>
        <w:gridCol w:w="1400"/>
        <w:gridCol w:w="2800"/>
        <w:gridCol w:w="5160"/>
      </w:tblGrid>
      <w:tr>
        <w:trPr>
          <w:tblHeader w:val="0"/>
          <w:cantSplit w:val="0"/>
          <w:trHeight w:val="0" w:hRule="auto"/>
        </w:trPr>
        <w:tc>
          <w:tcPr>
            <w:tcW w:w="14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Entrega</w:t>
            </w:r>
            <w:r/>
          </w:p>
        </w:tc>
        <w:tc>
          <w:tcPr>
            <w:tcW w:w="280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Fecha</w:t>
            </w:r>
            <w:r/>
          </w:p>
        </w:tc>
        <w:tc>
          <w:tcPr>
            <w:tcW w:w="5160" w:type="dxa"/>
            <w:vAlign w:val="center"/>
            <w:shd w:val="solid" w:color="2E74B5" tmshd="1677721856, 0, 11891758"/>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center"/>
            </w:pPr>
            <w:r>
              <w:rPr>
                <w:b/>
                <w:bCs/>
                <w:color w:val="ffffff"/>
                <w:sz w:val="20"/>
                <w:szCs w:val="20"/>
              </w:rPr>
              <w:t>Descripción</w:t>
            </w:r>
            <w:r/>
          </w:p>
        </w:tc>
      </w:tr>
      <w:tr>
        <w:trPr>
          <w:tblHeader w:val="0"/>
          <w:cantSplit w:val="0"/>
          <w:trHeight w:val="0" w:hRule="auto"/>
        </w:trPr>
        <w:tc>
          <w:tcPr>
            <w:tcW w:w="14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Entrega 1</w:t>
            </w:r>
            <w:r/>
          </w:p>
        </w:tc>
        <w:tc>
          <w:tcPr>
            <w:tcW w:w="2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09 de febrero de 2026</w:t>
            </w:r>
            <w:r/>
          </w:p>
        </w:tc>
        <w:tc>
          <w:tcPr>
            <w:tcW w:w="51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Visión y alcance del proyecto (presente documento).</w:t>
            </w:r>
            <w:r/>
          </w:p>
        </w:tc>
      </w:tr>
      <w:tr>
        <w:trPr>
          <w:tblHeader w:val="0"/>
          <w:cantSplit w:val="0"/>
          <w:trHeight w:val="0" w:hRule="auto"/>
        </w:trPr>
        <w:tc>
          <w:tcPr>
            <w:tcW w:w="14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Entrega 2</w:t>
            </w:r>
            <w:r/>
          </w:p>
        </w:tc>
        <w:tc>
          <w:tcPr>
            <w:tcW w:w="2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25 de febrero de 2026</w:t>
            </w:r>
            <w:r/>
          </w:p>
        </w:tc>
        <w:tc>
          <w:tcPr>
            <w:tcW w:w="51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Diagramas UML y descripción de tecnologías a implementar (lenguajes, frameworks, BD).</w:t>
            </w:r>
            <w:r/>
          </w:p>
        </w:tc>
      </w:tr>
      <w:tr>
        <w:trPr>
          <w:tblHeader w:val="0"/>
          <w:cantSplit w:val="0"/>
          <w:trHeight w:val="0" w:hRule="auto"/>
        </w:trPr>
        <w:tc>
          <w:tcPr>
            <w:tcW w:w="14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Entrega 3</w:t>
            </w:r>
            <w:r/>
          </w:p>
        </w:tc>
        <w:tc>
          <w:tcPr>
            <w:tcW w:w="2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de abril de 2026</w:t>
            </w:r>
            <w:r/>
          </w:p>
        </w:tc>
        <w:tc>
          <w:tcPr>
            <w:tcW w:w="51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Prototipo alfa: interfaz básica, registro de incapacidades y consulta simple de información.</w:t>
            </w:r>
            <w:r/>
          </w:p>
        </w:tc>
      </w:tr>
      <w:tr>
        <w:trPr>
          <w:tblHeader w:val="0"/>
          <w:cantSplit w:val="0"/>
          <w:trHeight w:val="0" w:hRule="auto"/>
        </w:trPr>
        <w:tc>
          <w:tcPr>
            <w:tcW w:w="14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Entrega 4</w:t>
            </w:r>
            <w:r/>
          </w:p>
        </w:tc>
        <w:tc>
          <w:tcPr>
            <w:tcW w:w="280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01 de mayo de 2026</w:t>
            </w:r>
            <w:r/>
          </w:p>
        </w:tc>
        <w:tc>
          <w:tcPr>
            <w:tcW w:w="5160" w:type="dxa"/>
            <w:shd w:val="solid" w:color="FFFFFF" tmshd="1677721856, 0, 16777215"/>
            <w:tcMar>
              <w:top w:w="80" w:type="dxa"/>
              <w:left w:w="120" w:type="dxa"/>
              <w:bottom w:w="80" w:type="dxa"/>
              <w:right w:w="120" w:type="dxa"/>
            </w:tcMar>
            <w:tcBorders>
              <w:top w:val="single" w:sz="6" w:space="0" w:color="AAAAAA" tmln="15, 20, 20, 0, 0"/>
              <w:left w:val="single" w:sz="6" w:space="0" w:color="AAAAAA" tmln="15, 20, 20, 0, 0"/>
              <w:bottom w:val="single" w:sz="6" w:space="0" w:color="AAAAAA" tmln="15,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Pruebas del sistema y refinamiento funcional.</w:t>
            </w:r>
            <w:r/>
          </w:p>
        </w:tc>
      </w:tr>
      <w:tr>
        <w:trPr>
          <w:tblHeader w:val="0"/>
          <w:cantSplit w:val="0"/>
          <w:trHeight w:val="0" w:hRule="auto"/>
        </w:trPr>
        <w:tc>
          <w:tcPr>
            <w:tcW w:w="14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r>
              <w:rPr>
                <w:b/>
                <w:bCs/>
                <w:sz w:val="20"/>
                <w:szCs w:val="20"/>
              </w:rPr>
              <w:t>Entrega 5</w:t>
            </w:r>
            <w:r/>
          </w:p>
        </w:tc>
        <w:tc>
          <w:tcPr>
            <w:tcW w:w="280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30 de mayo de 2026</w:t>
            </w:r>
            <w:r/>
          </w:p>
        </w:tc>
        <w:tc>
          <w:tcPr>
            <w:tcW w:w="5160" w:type="dxa"/>
            <w:shd w:val="solid" w:color="F2F2F2" tmshd="1677721856, 0, 15921906"/>
            <w:tcMar>
              <w:top w:w="80" w:type="dxa"/>
              <w:left w:w="120" w:type="dxa"/>
              <w:bottom w:w="80" w:type="dxa"/>
              <w:right w:w="120" w:type="dxa"/>
            </w:tcMar>
            <w:tcBorders>
              <w:top w:val="single" w:sz="6" w:space="0" w:color="AAAAAA" tmln="15, 20, 20, 0, 0"/>
              <w:left w:val="single" w:sz="6" w:space="0" w:color="AAAAAA" tmln="15, 20, 20, 0, 0"/>
              <w:bottom w:val="single" w:sz="4" w:space="0" w:color="000000" tmln="10, 20, 20, 0, 0"/>
              <w:right w:val="single" w:sz="6" w:space="0" w:color="AAAAAA" tmln="15, 20, 20, 0, 0"/>
              <w:tl2br w:val="nil" w:sz="0" w:space="0" w:color="000000" tmln="20, 20, 20, 0, 0"/>
              <w:tr2bl w:val="nil" w:sz="0" w:space="0" w:color="000000" tmln="20, 20, 20, 0, 0"/>
            </w:tcBorders>
            <w:tmTcPr id="1771616088" protected="0"/>
          </w:tcPr>
          <w:p>
            <w:pPr>
              <w:spacing/>
              <w:jc w:val="both"/>
            </w:pPr>
            <w:r>
              <w:rPr>
                <w:sz w:val="20"/>
                <w:szCs w:val="20"/>
              </w:rPr>
              <w:t>Software funcional completo y documentación final.</w:t>
            </w:r>
            <w:r/>
          </w:p>
        </w:tc>
      </w:tr>
    </w:tbl>
    <w:p>
      <w:pPr>
        <w:spacing w:before="200"/>
      </w:p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080" w:top="1080" w:right="1080" w:bottom="108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a numerada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Lista numerada 2"/>
    <w:lvl w:ilvl="0">
      <w:numFmt w:val="bullet"/>
      <w:suff w:val="tab"/>
      <w:lvlText w:val="•"/>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
    <w:multiLevelType w:val="hybridMultilevel"/>
    <w:lvl w:ilvl="0">
      <w:numFmt w:val="bullet"/>
      <w:suff w:val="tab"/>
      <w:lvlText w:val="•"/>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5"/>
    <w:tmLastPosSelect w:val="0"/>
    <w:tmLastPosFrameIdx w:val="0"/>
    <w:tmLastPosCaret>
      <w:tmLastPosPgfIdx w:val="90"/>
      <w:tmLastPosIdx w:val="7"/>
    </w:tmLastPosCaret>
    <w:tmLastPosAnchor>
      <w:tmLastPosPgfIdx w:val="0"/>
      <w:tmLastPosIdx w:val="0"/>
    </w:tmLastPosAnchor>
    <w:tmLastPosTblRect w:left="0" w:top="0" w:right="0" w:bottom="0"/>
  </w:tmLastPos>
  <w:tmAppRevision w:date="1771616088"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s-mx"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rPr>
  </w:style>
  <w:style w:type="paragraph" w:styleId="para2">
    <w:name w:val="heading 1"/>
    <w:qFormat/>
    <w:rPr>
      <w:rFonts w:ascii="Arial" w:hAnsi="Arial" w:eastAsia="Arial" w:cs="Arial"/>
      <w:color w:val="2e74b5"/>
      <w:sz w:val="32"/>
      <w:szCs w:val="32"/>
    </w:rPr>
  </w:style>
  <w:style w:type="paragraph" w:styleId="para3">
    <w:name w:val="heading 2"/>
    <w:qFormat/>
    <w:rPr>
      <w:rFonts w:ascii="Arial" w:hAnsi="Arial" w:eastAsia="Arial" w:cs="Arial"/>
      <w:color w:val="2e74b5"/>
      <w:sz w:val="26"/>
      <w:szCs w:val="26"/>
    </w:rPr>
  </w:style>
  <w:style w:type="paragraph" w:styleId="para4">
    <w:name w:val="heading 3"/>
    <w:qFormat/>
    <w:rPr>
      <w:rFonts w:ascii="Arial" w:hAnsi="Arial" w:eastAsia="Arial" w:cs="Arial"/>
      <w:color w:val="1f4d78"/>
      <w:sz w:val="24"/>
      <w:szCs w:val="24"/>
    </w:rPr>
  </w:style>
  <w:style w:type="paragraph" w:styleId="para5">
    <w:name w:val="heading 4"/>
    <w:qFormat/>
    <w:rPr>
      <w:rFonts w:ascii="Arial" w:hAnsi="Arial" w:eastAsia="Arial" w:cs="Arial"/>
      <w:i/>
      <w:iCs/>
      <w:color w:val="2e74b5"/>
      <w:sz w:val="22"/>
      <w:szCs w:val="22"/>
    </w:rPr>
  </w:style>
  <w:style w:type="paragraph" w:styleId="para6">
    <w:name w:val="heading 5"/>
    <w:qFormat/>
    <w:rPr>
      <w:rFonts w:ascii="Arial" w:hAnsi="Arial" w:eastAsia="Arial" w:cs="Arial"/>
      <w:color w:val="2e74b5"/>
      <w:sz w:val="22"/>
      <w:szCs w:val="22"/>
    </w:rPr>
  </w:style>
  <w:style w:type="paragraph" w:styleId="para7">
    <w:name w:val="heading 6"/>
    <w:qFormat/>
    <w:rPr>
      <w:rFonts w:ascii="Arial" w:hAnsi="Arial" w:eastAsia="Arial" w:cs="Arial"/>
      <w:color w:val="1f4d78"/>
      <w:sz w:val="22"/>
      <w:szCs w:val="22"/>
    </w:rPr>
  </w:style>
  <w:style w:type="paragraph" w:styleId="para8" w:customStyle="1">
    <w:name w:val="Texto en negrita"/>
    <w:qFormat/>
    <w:rPr>
      <w:rFonts w:ascii="Arial" w:hAnsi="Arial" w:eastAsia="Arial" w:cs="Arial"/>
      <w:b/>
      <w:bCs/>
      <w:sz w:val="22"/>
      <w:szCs w:val="22"/>
    </w:rPr>
  </w:style>
  <w:style w:type="paragraph" w:styleId="para9">
    <w:name w:val="List Paragraph"/>
    <w:qFormat/>
    <w:rPr>
      <w:rFonts w:ascii="Arial" w:hAnsi="Arial" w:eastAsia="Arial" w:cs="Arial"/>
      <w:sz w:val="22"/>
      <w:szCs w:val="22"/>
    </w:rPr>
  </w:style>
  <w:style w:type="paragraph" w:styleId="para10">
    <w:name w:val="Footnote Text"/>
    <w:qFormat/>
    <w:rPr>
      <w:rFonts w:ascii="Arial" w:hAnsi="Arial" w:eastAsia="Arial" w:cs="Arial"/>
    </w:rPr>
  </w:style>
  <w:style w:type="paragraph" w:styleId="para11" w:customStyle="1">
    <w:name w:val="Heading 1"/>
    <w:qFormat/>
    <w:pPr>
      <w:spacing w:before="320" w:after="120"/>
      <w:outlineLvl w:val="0"/>
    </w:pPr>
    <w:rPr>
      <w:rFonts w:ascii="Arial" w:hAnsi="Arial" w:eastAsia="Arial" w:cs="Arial"/>
      <w:b/>
      <w:bCs/>
      <w:color w:val="2e74b5"/>
      <w:sz w:val="28"/>
      <w:szCs w:val="28"/>
    </w:rPr>
  </w:style>
  <w:style w:type="paragraph" w:styleId="para12" w:customStyle="1">
    <w:name w:val="Heading 2"/>
    <w:qFormat/>
    <w:pPr>
      <w:spacing w:before="240" w:after="80"/>
      <w:outlineLvl w:val="1"/>
    </w:pPr>
    <w:rPr>
      <w:rFonts w:ascii="Arial" w:hAnsi="Arial" w:eastAsia="Arial" w:cs="Arial"/>
      <w:b/>
      <w:bCs/>
      <w:color w:val="1f4e79"/>
      <w:sz w:val="24"/>
      <w:szCs w:val="24"/>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s-mx"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rPr>
  </w:style>
  <w:style w:type="paragraph" w:styleId="para2">
    <w:name w:val="heading 1"/>
    <w:qFormat/>
    <w:rPr>
      <w:rFonts w:ascii="Arial" w:hAnsi="Arial" w:eastAsia="Arial" w:cs="Arial"/>
      <w:color w:val="2e74b5"/>
      <w:sz w:val="32"/>
      <w:szCs w:val="32"/>
    </w:rPr>
  </w:style>
  <w:style w:type="paragraph" w:styleId="para3">
    <w:name w:val="heading 2"/>
    <w:qFormat/>
    <w:rPr>
      <w:rFonts w:ascii="Arial" w:hAnsi="Arial" w:eastAsia="Arial" w:cs="Arial"/>
      <w:color w:val="2e74b5"/>
      <w:sz w:val="26"/>
      <w:szCs w:val="26"/>
    </w:rPr>
  </w:style>
  <w:style w:type="paragraph" w:styleId="para4">
    <w:name w:val="heading 3"/>
    <w:qFormat/>
    <w:rPr>
      <w:rFonts w:ascii="Arial" w:hAnsi="Arial" w:eastAsia="Arial" w:cs="Arial"/>
      <w:color w:val="1f4d78"/>
      <w:sz w:val="24"/>
      <w:szCs w:val="24"/>
    </w:rPr>
  </w:style>
  <w:style w:type="paragraph" w:styleId="para5">
    <w:name w:val="heading 4"/>
    <w:qFormat/>
    <w:rPr>
      <w:rFonts w:ascii="Arial" w:hAnsi="Arial" w:eastAsia="Arial" w:cs="Arial"/>
      <w:i/>
      <w:iCs/>
      <w:color w:val="2e74b5"/>
      <w:sz w:val="22"/>
      <w:szCs w:val="22"/>
    </w:rPr>
  </w:style>
  <w:style w:type="paragraph" w:styleId="para6">
    <w:name w:val="heading 5"/>
    <w:qFormat/>
    <w:rPr>
      <w:rFonts w:ascii="Arial" w:hAnsi="Arial" w:eastAsia="Arial" w:cs="Arial"/>
      <w:color w:val="2e74b5"/>
      <w:sz w:val="22"/>
      <w:szCs w:val="22"/>
    </w:rPr>
  </w:style>
  <w:style w:type="paragraph" w:styleId="para7">
    <w:name w:val="heading 6"/>
    <w:qFormat/>
    <w:rPr>
      <w:rFonts w:ascii="Arial" w:hAnsi="Arial" w:eastAsia="Arial" w:cs="Arial"/>
      <w:color w:val="1f4d78"/>
      <w:sz w:val="22"/>
      <w:szCs w:val="22"/>
    </w:rPr>
  </w:style>
  <w:style w:type="paragraph" w:styleId="para8" w:customStyle="1">
    <w:name w:val="Texto en negrita"/>
    <w:qFormat/>
    <w:rPr>
      <w:rFonts w:ascii="Arial" w:hAnsi="Arial" w:eastAsia="Arial" w:cs="Arial"/>
      <w:b/>
      <w:bCs/>
      <w:sz w:val="22"/>
      <w:szCs w:val="22"/>
    </w:rPr>
  </w:style>
  <w:style w:type="paragraph" w:styleId="para9">
    <w:name w:val="List Paragraph"/>
    <w:qFormat/>
    <w:rPr>
      <w:rFonts w:ascii="Arial" w:hAnsi="Arial" w:eastAsia="Arial" w:cs="Arial"/>
      <w:sz w:val="22"/>
      <w:szCs w:val="22"/>
    </w:rPr>
  </w:style>
  <w:style w:type="paragraph" w:styleId="para10">
    <w:name w:val="Footnote Text"/>
    <w:qFormat/>
    <w:rPr>
      <w:rFonts w:ascii="Arial" w:hAnsi="Arial" w:eastAsia="Arial" w:cs="Arial"/>
    </w:rPr>
  </w:style>
  <w:style w:type="paragraph" w:styleId="para11" w:customStyle="1">
    <w:name w:val="Heading 1"/>
    <w:qFormat/>
    <w:pPr>
      <w:spacing w:before="320" w:after="120"/>
      <w:outlineLvl w:val="0"/>
    </w:pPr>
    <w:rPr>
      <w:rFonts w:ascii="Arial" w:hAnsi="Arial" w:eastAsia="Arial" w:cs="Arial"/>
      <w:b/>
      <w:bCs/>
      <w:color w:val="2e74b5"/>
      <w:sz w:val="28"/>
      <w:szCs w:val="28"/>
    </w:rPr>
  </w:style>
  <w:style w:type="paragraph" w:styleId="para12" w:customStyle="1">
    <w:name w:val="Heading 2"/>
    <w:qFormat/>
    <w:pPr>
      <w:spacing w:before="240" w:after="80"/>
      <w:outlineLvl w:val="1"/>
    </w:pPr>
    <w:rPr>
      <w:rFonts w:ascii="Arial" w:hAnsi="Arial" w:eastAsia="Arial" w:cs="Arial"/>
      <w:b/>
      <w:bCs/>
      <w:color w:val="1f4e79"/>
      <w:sz w:val="24"/>
      <w:szCs w:val="24"/>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2026-02-20T19:12:03Z</dcterms:created>
  <dcterms:modified xsi:type="dcterms:W3CDTF">2026-02-20T19:34:48Z</dcterms:modified>
</cp:coreProperties>
</file>