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jc w:val="center"/>
        <w:outlineLvl w:val="2"/>
        <w:rPr>
          <w:b/>
          <w:bCs/>
        </w:rPr>
      </w:pPr>
      <w:r>
        <w:rPr>
          <w:b/>
          <w:bCs/>
        </w:rPr>
        <w:t>Viualizations, Interpretations and Discussions</w:t>
      </w:r>
    </w:p>
    <w:p>
      <w:pPr>
        <w:pStyle w:val="style0"/>
        <w:spacing w:before="100" w:beforeAutospacing="true" w:after="100" w:afterAutospacing="true"/>
        <w:outlineLvl w:val="2"/>
        <w:rPr>
          <w:b/>
          <w:bCs/>
        </w:rPr>
      </w:pPr>
    </w:p>
    <w:p>
      <w:pPr>
        <w:pStyle w:val="style3"/>
        <w:rPr/>
      </w:pPr>
      <w:r>
        <w:t>Shrinkage Assessment Over Time</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032"/>
        <w:gridCol w:w="2326"/>
        <w:gridCol w:w="2199"/>
        <w:gridCol w:w="1964"/>
        <w:gridCol w:w="1837"/>
      </w:tblGrid>
      <w:tr>
        <w:trPr>
          <w:tblHeader/>
          <w:tblCellSpacing w:w="15" w:type="dxa"/>
        </w:trPr>
        <w:tc>
          <w:tcPr>
            <w:tcW w:w="0" w:type="auto"/>
            <w:tcBorders/>
            <w:vAlign w:val="center"/>
            <w:hideMark/>
          </w:tcPr>
          <w:p>
            <w:pPr>
              <w:pStyle w:val="style0"/>
              <w:jc w:val="center"/>
              <w:rPr>
                <w:b/>
                <w:bCs/>
              </w:rPr>
            </w:pPr>
            <w:r>
              <w:rPr>
                <w:b/>
                <w:bCs/>
              </w:rPr>
              <w:t>Time (hrs)</w:t>
            </w:r>
          </w:p>
        </w:tc>
        <w:tc>
          <w:tcPr>
            <w:tcW w:w="0" w:type="auto"/>
            <w:tcBorders/>
            <w:vAlign w:val="center"/>
            <w:hideMark/>
          </w:tcPr>
          <w:p>
            <w:pPr>
              <w:pStyle w:val="style0"/>
              <w:jc w:val="center"/>
              <w:rPr>
                <w:b/>
                <w:bCs/>
              </w:rPr>
            </w:pPr>
            <w:r>
              <w:rPr>
                <w:b/>
                <w:bCs/>
              </w:rPr>
              <w:t>Percentage (2.5 inches)</w:t>
            </w:r>
          </w:p>
        </w:tc>
        <w:tc>
          <w:tcPr>
            <w:tcW w:w="0" w:type="auto"/>
            <w:tcBorders/>
            <w:vAlign w:val="center"/>
            <w:hideMark/>
          </w:tcPr>
          <w:p>
            <w:pPr>
              <w:pStyle w:val="style0"/>
              <w:jc w:val="center"/>
              <w:rPr>
                <w:b/>
                <w:bCs/>
              </w:rPr>
            </w:pPr>
            <w:r>
              <w:rPr>
                <w:b/>
                <w:bCs/>
              </w:rPr>
              <w:t>Thickness (2.5 inches)</w:t>
            </w:r>
          </w:p>
        </w:tc>
        <w:tc>
          <w:tcPr>
            <w:tcW w:w="0" w:type="auto"/>
            <w:tcBorders/>
            <w:vAlign w:val="center"/>
            <w:hideMark/>
          </w:tcPr>
          <w:p>
            <w:pPr>
              <w:pStyle w:val="style0"/>
              <w:jc w:val="center"/>
              <w:rPr>
                <w:b/>
                <w:bCs/>
              </w:rPr>
            </w:pPr>
            <w:r>
              <w:rPr>
                <w:b/>
                <w:bCs/>
              </w:rPr>
              <w:t>Percentage (1 inch)</w:t>
            </w:r>
          </w:p>
        </w:tc>
        <w:tc>
          <w:tcPr>
            <w:tcW w:w="0" w:type="auto"/>
            <w:tcBorders/>
            <w:vAlign w:val="center"/>
            <w:hideMark/>
          </w:tcPr>
          <w:p>
            <w:pPr>
              <w:pStyle w:val="style0"/>
              <w:jc w:val="center"/>
              <w:rPr>
                <w:b/>
                <w:bCs/>
              </w:rPr>
            </w:pPr>
            <w:r>
              <w:rPr>
                <w:b/>
                <w:bCs/>
              </w:rPr>
              <w:t>Thickness (1 inch)</w:t>
            </w:r>
          </w:p>
        </w:tc>
      </w:tr>
      <w:tr>
        <w:tblPrEx/>
        <w:trPr>
          <w:tblCellSpacing w:w="15" w:type="dxa"/>
        </w:trPr>
        <w:tc>
          <w:tcPr>
            <w:tcW w:w="0" w:type="auto"/>
            <w:tcBorders>
              <w:top w:val="single" w:sz="4" w:space="0" w:color="auto"/>
            </w:tcBorders>
            <w:vAlign w:val="center"/>
            <w:hideMark/>
          </w:tcPr>
          <w:p>
            <w:pPr>
              <w:pStyle w:val="style0"/>
              <w:jc w:val="center"/>
              <w:rPr/>
            </w:pPr>
            <w:r>
              <w:t>0</w:t>
            </w:r>
          </w:p>
        </w:tc>
        <w:tc>
          <w:tcPr>
            <w:tcW w:w="0" w:type="auto"/>
            <w:tcBorders>
              <w:top w:val="single" w:sz="4" w:space="0" w:color="auto"/>
            </w:tcBorders>
            <w:vAlign w:val="center"/>
            <w:hideMark/>
          </w:tcPr>
          <w:p>
            <w:pPr>
              <w:pStyle w:val="style0"/>
              <w:jc w:val="center"/>
              <w:rPr/>
            </w:pPr>
            <w:r>
              <w:t>0</w:t>
            </w:r>
          </w:p>
        </w:tc>
        <w:tc>
          <w:tcPr>
            <w:tcW w:w="0" w:type="auto"/>
            <w:tcBorders>
              <w:top w:val="single" w:sz="4" w:space="0" w:color="auto"/>
            </w:tcBorders>
            <w:vAlign w:val="center"/>
            <w:hideMark/>
          </w:tcPr>
          <w:p>
            <w:pPr>
              <w:pStyle w:val="style0"/>
              <w:jc w:val="center"/>
              <w:rPr/>
            </w:pPr>
            <w:r>
              <w:t>2.50</w:t>
            </w:r>
          </w:p>
        </w:tc>
        <w:tc>
          <w:tcPr>
            <w:tcW w:w="0" w:type="auto"/>
            <w:tcBorders>
              <w:top w:val="single" w:sz="4" w:space="0" w:color="auto"/>
            </w:tcBorders>
            <w:vAlign w:val="center"/>
            <w:hideMark/>
          </w:tcPr>
          <w:p>
            <w:pPr>
              <w:pStyle w:val="style0"/>
              <w:jc w:val="center"/>
              <w:rPr/>
            </w:pPr>
            <w:r>
              <w:t>0</w:t>
            </w:r>
          </w:p>
        </w:tc>
        <w:tc>
          <w:tcPr>
            <w:tcW w:w="0" w:type="auto"/>
            <w:tcBorders>
              <w:top w:val="single" w:sz="4" w:space="0" w:color="auto"/>
            </w:tcBorders>
            <w:vAlign w:val="center"/>
            <w:hideMark/>
          </w:tcPr>
          <w:p>
            <w:pPr>
              <w:pStyle w:val="style0"/>
              <w:jc w:val="center"/>
              <w:rPr/>
            </w:pPr>
            <w:r>
              <w:t>1.00</w:t>
            </w:r>
          </w:p>
        </w:tc>
      </w:tr>
      <w:tr>
        <w:tblPrEx/>
        <w:trPr>
          <w:tblCellSpacing w:w="15" w:type="dxa"/>
        </w:trPr>
        <w:tc>
          <w:tcPr>
            <w:tcW w:w="0" w:type="auto"/>
            <w:tcBorders/>
            <w:vAlign w:val="center"/>
            <w:hideMark/>
          </w:tcPr>
          <w:p>
            <w:pPr>
              <w:pStyle w:val="style0"/>
              <w:jc w:val="center"/>
              <w:rPr/>
            </w:pPr>
            <w:r>
              <w:t>3</w:t>
            </w:r>
          </w:p>
        </w:tc>
        <w:tc>
          <w:tcPr>
            <w:tcW w:w="0" w:type="auto"/>
            <w:tcBorders/>
            <w:vAlign w:val="center"/>
            <w:hideMark/>
          </w:tcPr>
          <w:p>
            <w:pPr>
              <w:pStyle w:val="style0"/>
              <w:jc w:val="center"/>
              <w:rPr/>
            </w:pPr>
            <w:r>
              <w:t>2</w:t>
            </w:r>
          </w:p>
        </w:tc>
        <w:tc>
          <w:tcPr>
            <w:tcW w:w="0" w:type="auto"/>
            <w:tcBorders/>
            <w:vAlign w:val="center"/>
            <w:hideMark/>
          </w:tcPr>
          <w:p>
            <w:pPr>
              <w:pStyle w:val="style0"/>
              <w:jc w:val="center"/>
              <w:rPr/>
            </w:pPr>
            <w:r>
              <w:t>2.45</w:t>
            </w:r>
          </w:p>
        </w:tc>
        <w:tc>
          <w:tcPr>
            <w:tcW w:w="0" w:type="auto"/>
            <w:tcBorders/>
            <w:vAlign w:val="center"/>
            <w:hideMark/>
          </w:tcPr>
          <w:p>
            <w:pPr>
              <w:pStyle w:val="style0"/>
              <w:jc w:val="center"/>
              <w:rPr/>
            </w:pPr>
            <w:r>
              <w:t>5</w:t>
            </w:r>
          </w:p>
        </w:tc>
        <w:tc>
          <w:tcPr>
            <w:tcW w:w="0" w:type="auto"/>
            <w:tcBorders/>
            <w:vAlign w:val="center"/>
            <w:hideMark/>
          </w:tcPr>
          <w:p>
            <w:pPr>
              <w:pStyle w:val="style0"/>
              <w:jc w:val="center"/>
              <w:rPr/>
            </w:pPr>
            <w:r>
              <w:t>0.95</w:t>
            </w:r>
          </w:p>
        </w:tc>
      </w:tr>
      <w:tr>
        <w:tblPrEx/>
        <w:trPr>
          <w:tblCellSpacing w:w="15" w:type="dxa"/>
        </w:trPr>
        <w:tc>
          <w:tcPr>
            <w:tcW w:w="0" w:type="auto"/>
            <w:tcBorders/>
            <w:vAlign w:val="center"/>
            <w:hideMark/>
          </w:tcPr>
          <w:p>
            <w:pPr>
              <w:pStyle w:val="style0"/>
              <w:jc w:val="center"/>
              <w:rPr/>
            </w:pPr>
            <w:r>
              <w:t>6</w:t>
            </w:r>
          </w:p>
        </w:tc>
        <w:tc>
          <w:tcPr>
            <w:tcW w:w="0" w:type="auto"/>
            <w:tcBorders/>
            <w:vAlign w:val="center"/>
            <w:hideMark/>
          </w:tcPr>
          <w:p>
            <w:pPr>
              <w:pStyle w:val="style0"/>
              <w:jc w:val="center"/>
              <w:rPr/>
            </w:pPr>
            <w:r>
              <w:t>2.04</w:t>
            </w:r>
          </w:p>
        </w:tc>
        <w:tc>
          <w:tcPr>
            <w:tcW w:w="0" w:type="auto"/>
            <w:tcBorders/>
            <w:vAlign w:val="center"/>
            <w:hideMark/>
          </w:tcPr>
          <w:p>
            <w:pPr>
              <w:pStyle w:val="style0"/>
              <w:jc w:val="center"/>
              <w:rPr/>
            </w:pPr>
            <w:r>
              <w:t>2.40</w:t>
            </w:r>
          </w:p>
        </w:tc>
        <w:tc>
          <w:tcPr>
            <w:tcW w:w="0" w:type="auto"/>
            <w:tcBorders/>
            <w:vAlign w:val="center"/>
            <w:hideMark/>
          </w:tcPr>
          <w:p>
            <w:pPr>
              <w:pStyle w:val="style0"/>
              <w:jc w:val="center"/>
              <w:rPr/>
            </w:pPr>
            <w:r>
              <w:t>5.26</w:t>
            </w:r>
          </w:p>
        </w:tc>
        <w:tc>
          <w:tcPr>
            <w:tcW w:w="0" w:type="auto"/>
            <w:tcBorders/>
            <w:vAlign w:val="center"/>
            <w:hideMark/>
          </w:tcPr>
          <w:p>
            <w:pPr>
              <w:pStyle w:val="style0"/>
              <w:jc w:val="center"/>
              <w:rPr/>
            </w:pPr>
            <w:r>
              <w:t>0.90</w:t>
            </w:r>
          </w:p>
        </w:tc>
      </w:tr>
      <w:tr>
        <w:tblPrEx/>
        <w:trPr>
          <w:tblCellSpacing w:w="15" w:type="dxa"/>
        </w:trPr>
        <w:tc>
          <w:tcPr>
            <w:tcW w:w="0" w:type="auto"/>
            <w:tcBorders/>
            <w:vAlign w:val="center"/>
            <w:hideMark/>
          </w:tcPr>
          <w:p>
            <w:pPr>
              <w:pStyle w:val="style0"/>
              <w:jc w:val="center"/>
              <w:rPr/>
            </w:pPr>
            <w:r>
              <w:t>9</w:t>
            </w:r>
          </w:p>
        </w:tc>
        <w:tc>
          <w:tcPr>
            <w:tcW w:w="0" w:type="auto"/>
            <w:tcBorders/>
            <w:vAlign w:val="center"/>
            <w:hideMark/>
          </w:tcPr>
          <w:p>
            <w:pPr>
              <w:pStyle w:val="style0"/>
              <w:jc w:val="center"/>
              <w:rPr/>
            </w:pPr>
            <w:r>
              <w:t>2.08</w:t>
            </w:r>
          </w:p>
        </w:tc>
        <w:tc>
          <w:tcPr>
            <w:tcW w:w="0" w:type="auto"/>
            <w:tcBorders/>
            <w:vAlign w:val="center"/>
            <w:hideMark/>
          </w:tcPr>
          <w:p>
            <w:pPr>
              <w:pStyle w:val="style0"/>
              <w:jc w:val="center"/>
              <w:rPr/>
            </w:pPr>
            <w:r>
              <w:t>2.35</w:t>
            </w:r>
          </w:p>
        </w:tc>
        <w:tc>
          <w:tcPr>
            <w:tcW w:w="0" w:type="auto"/>
            <w:tcBorders/>
            <w:vAlign w:val="center"/>
            <w:hideMark/>
          </w:tcPr>
          <w:p>
            <w:pPr>
              <w:pStyle w:val="style0"/>
              <w:jc w:val="center"/>
              <w:rPr/>
            </w:pPr>
            <w:r>
              <w:t>5.56</w:t>
            </w:r>
          </w:p>
        </w:tc>
        <w:tc>
          <w:tcPr>
            <w:tcW w:w="0" w:type="auto"/>
            <w:tcBorders/>
            <w:vAlign w:val="center"/>
            <w:hideMark/>
          </w:tcPr>
          <w:p>
            <w:pPr>
              <w:pStyle w:val="style0"/>
              <w:jc w:val="center"/>
              <w:rPr/>
            </w:pPr>
            <w:r>
              <w:t>0.85</w:t>
            </w:r>
          </w:p>
        </w:tc>
      </w:tr>
      <w:tr>
        <w:tblPrEx/>
        <w:trPr>
          <w:tblCellSpacing w:w="15" w:type="dxa"/>
        </w:trPr>
        <w:tc>
          <w:tcPr>
            <w:tcW w:w="0" w:type="auto"/>
            <w:tcBorders/>
            <w:vAlign w:val="center"/>
            <w:hideMark/>
          </w:tcPr>
          <w:p>
            <w:pPr>
              <w:pStyle w:val="style0"/>
              <w:jc w:val="center"/>
              <w:rPr/>
            </w:pPr>
            <w:r>
              <w:t>12</w:t>
            </w:r>
          </w:p>
        </w:tc>
        <w:tc>
          <w:tcPr>
            <w:tcW w:w="0" w:type="auto"/>
            <w:tcBorders/>
            <w:vAlign w:val="center"/>
            <w:hideMark/>
          </w:tcPr>
          <w:p>
            <w:pPr>
              <w:pStyle w:val="style0"/>
              <w:jc w:val="center"/>
              <w:rPr/>
            </w:pPr>
            <w:r>
              <w:t>0</w:t>
            </w:r>
          </w:p>
        </w:tc>
        <w:tc>
          <w:tcPr>
            <w:tcW w:w="0" w:type="auto"/>
            <w:tcBorders/>
            <w:vAlign w:val="center"/>
            <w:hideMark/>
          </w:tcPr>
          <w:p>
            <w:pPr>
              <w:pStyle w:val="style0"/>
              <w:jc w:val="center"/>
              <w:rPr/>
            </w:pPr>
            <w:r>
              <w:t>2.35</w:t>
            </w:r>
          </w:p>
        </w:tc>
        <w:tc>
          <w:tcPr>
            <w:tcW w:w="0" w:type="auto"/>
            <w:tcBorders/>
            <w:vAlign w:val="center"/>
            <w:hideMark/>
          </w:tcPr>
          <w:p>
            <w:pPr>
              <w:pStyle w:val="style0"/>
              <w:jc w:val="center"/>
              <w:rPr/>
            </w:pPr>
            <w:r>
              <w:t>0</w:t>
            </w:r>
          </w:p>
        </w:tc>
        <w:tc>
          <w:tcPr>
            <w:tcW w:w="0" w:type="auto"/>
            <w:tcBorders/>
            <w:vAlign w:val="center"/>
            <w:hideMark/>
          </w:tcPr>
          <w:p>
            <w:pPr>
              <w:pStyle w:val="style0"/>
              <w:jc w:val="center"/>
              <w:rPr/>
            </w:pPr>
            <w:r>
              <w:t>0.85</w:t>
            </w:r>
          </w:p>
        </w:tc>
      </w:tr>
    </w:tbl>
    <w:p>
      <w:pPr>
        <w:pStyle w:val="style0"/>
        <w:spacing w:before="100" w:beforeAutospacing="true" w:after="100" w:afterAutospacing="true"/>
        <w:jc w:val="center"/>
        <w:outlineLvl w:val="2"/>
        <w:rPr>
          <w:b/>
          <w:bCs/>
        </w:rPr>
      </w:pPr>
    </w:p>
    <w:p>
      <w:pPr>
        <w:pStyle w:val="style0"/>
        <w:spacing w:before="100" w:beforeAutospacing="true" w:after="100" w:afterAutospacing="true"/>
        <w:outlineLvl w:val="2"/>
        <w:rPr>
          <w:b/>
          <w:bCs/>
        </w:rPr>
      </w:pPr>
      <w:r>
        <w:rPr>
          <w:noProof/>
        </w:rPr>
        <w:drawing>
          <wp:inline distL="0" distT="0" distB="0" distR="0">
            <wp:extent cx="5943600" cy="421005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4210050"/>
                    </a:xfrm>
                    <a:prstGeom prst="rect"/>
                    <a:ln>
                      <a:noFill/>
                    </a:ln>
                  </pic:spPr>
                </pic:pic>
              </a:graphicData>
            </a:graphic>
          </wp:inline>
        </w:drawing>
      </w:r>
    </w:p>
    <w:p>
      <w:pPr>
        <w:pStyle w:val="style0"/>
        <w:spacing w:before="100" w:beforeAutospacing="true" w:after="100" w:afterAutospacing="true"/>
        <w:jc w:val="both"/>
        <w:outlineLvl w:val="2"/>
        <w:rPr>
          <w:b/>
          <w:bCs/>
          <w:lang w:val="en-US"/>
        </w:rPr>
      </w:pPr>
    </w:p>
    <w:p>
      <w:pPr>
        <w:pStyle w:val="style4"/>
        <w:jc w:val="both"/>
        <w:rPr>
          <w:rFonts w:ascii="Times New Roman" w:eastAsia="Times New Roman" w:hAnsi="Times New Roman"/>
          <w:sz w:val="24"/>
          <w:szCs w:val="24"/>
        </w:rPr>
      </w:pPr>
      <w:r>
        <w:rPr>
          <w:rFonts w:ascii="Times New Roman" w:eastAsia="Times New Roman" w:hAnsi="Times New Roman"/>
          <w:sz w:val="24"/>
          <w:szCs w:val="24"/>
        </w:rPr>
        <w:t>Shrinkage Dynamics in Yam with Different Thicknesses</w:t>
      </w:r>
    </w:p>
    <w:p>
      <w:pPr>
        <w:pStyle w:val="style4"/>
        <w:jc w:val="both"/>
        <w:rPr>
          <w:rFonts w:ascii="Times New Roman" w:eastAsia="Times New Roman" w:hAnsi="Times New Roman"/>
          <w:b w:val="false"/>
          <w:bCs w:val="false"/>
          <w:sz w:val="24"/>
          <w:szCs w:val="24"/>
        </w:rPr>
      </w:pPr>
      <w:r>
        <w:rPr>
          <w:rFonts w:ascii="Times New Roman" w:eastAsia="Times New Roman" w:hAnsi="Times New Roman"/>
          <w:b w:val="false"/>
          <w:bCs w:val="false"/>
          <w:sz w:val="24"/>
          <w:szCs w:val="24"/>
        </w:rPr>
        <w:t>This study assesses the shrinkage percentages and dynamics over time for yam slices with two distinct thicknesses, 2.5 inches and 1 inch. The data, recorded at four intervals over a 12-hour period, reveal significant differences in shrinkage behaviors between the two thicknesses, crucial for understanding drying and shrinkage processes in yam.</w:t>
      </w:r>
    </w:p>
    <w:p>
      <w:pPr>
        <w:pStyle w:val="style4"/>
        <w:jc w:val="both"/>
        <w:rPr>
          <w:rFonts w:ascii="Times New Roman" w:eastAsia="Times New Roman" w:hAnsi="Times New Roman"/>
          <w:b w:val="false"/>
          <w:bCs w:val="false"/>
          <w:sz w:val="24"/>
          <w:szCs w:val="24"/>
        </w:rPr>
      </w:pPr>
      <w:r>
        <w:rPr>
          <w:rFonts w:ascii="Times New Roman" w:eastAsia="Times New Roman" w:hAnsi="Times New Roman"/>
          <w:b w:val="false"/>
          <w:bCs w:val="false"/>
          <w:sz w:val="24"/>
          <w:szCs w:val="24"/>
        </w:rPr>
        <w:t>Initially, at the start of the measurement period (0 hours), both thicknesses exhibited no shrinkage, setting the baseline for the analysis.</w:t>
      </w:r>
    </w:p>
    <w:p>
      <w:pPr>
        <w:pStyle w:val="style4"/>
        <w:jc w:val="both"/>
        <w:rPr>
          <w:rFonts w:ascii="Times New Roman" w:eastAsia="Times New Roman" w:hAnsi="Times New Roman"/>
          <w:b w:val="false"/>
          <w:bCs w:val="false"/>
          <w:sz w:val="24"/>
          <w:szCs w:val="24"/>
        </w:rPr>
      </w:pPr>
      <w:r>
        <w:rPr>
          <w:rFonts w:ascii="Times New Roman" w:eastAsia="Times New Roman" w:hAnsi="Times New Roman"/>
          <w:b w:val="false"/>
          <w:bCs w:val="false"/>
          <w:sz w:val="24"/>
          <w:szCs w:val="24"/>
        </w:rPr>
        <w:t>After 3 hours, a divergence in shrinkage became evident. The 2.5-inch thick yam registered a modest shrinkage of 2%, while the 1-inch thick yam showed a substantially higher shrinkage of 5%. This early indication suggested that the thinner yam shrunk more rapidly than the thicker counterpart.</w:t>
      </w:r>
    </w:p>
    <w:p>
      <w:pPr>
        <w:pStyle w:val="style4"/>
        <w:jc w:val="both"/>
        <w:rPr>
          <w:rFonts w:ascii="Times New Roman" w:eastAsia="Times New Roman" w:hAnsi="Times New Roman"/>
          <w:b w:val="false"/>
          <w:bCs w:val="false"/>
          <w:sz w:val="24"/>
          <w:szCs w:val="24"/>
        </w:rPr>
      </w:pPr>
      <w:r>
        <w:rPr>
          <w:rFonts w:ascii="Times New Roman" w:eastAsia="Times New Roman" w:hAnsi="Times New Roman"/>
          <w:b w:val="false"/>
          <w:bCs w:val="false"/>
          <w:sz w:val="24"/>
          <w:szCs w:val="24"/>
        </w:rPr>
        <w:t>The trend continued at the 6-hour mark, where the shrinkage for the 2.5-inch thickness slightly increased to 2.04%. Conversely, the 1-inch thickness exhibited a shrinkage of 5.26%. The persistent higher shrinkage in the thinner yam indicated a faster rate of moisture loss and structural collapse compared to the thicker yam.</w:t>
      </w:r>
    </w:p>
    <w:p>
      <w:pPr>
        <w:pStyle w:val="style4"/>
        <w:jc w:val="both"/>
        <w:rPr>
          <w:rFonts w:ascii="Times New Roman" w:eastAsia="Times New Roman" w:hAnsi="Times New Roman"/>
          <w:b w:val="false"/>
          <w:bCs w:val="false"/>
          <w:sz w:val="24"/>
          <w:szCs w:val="24"/>
        </w:rPr>
      </w:pPr>
      <w:r>
        <w:rPr>
          <w:rFonts w:ascii="Times New Roman" w:eastAsia="Times New Roman" w:hAnsi="Times New Roman"/>
          <w:b w:val="false"/>
          <w:bCs w:val="false"/>
          <w:sz w:val="24"/>
          <w:szCs w:val="24"/>
        </w:rPr>
        <w:t>At 9 hours, the 2.5-inch yam's shrinkage increased marginally to 2.08%, while the 1-inch yam's shrinkage reached 5.56%. This consistent pattern confirmed that the thinner yam continued to shrink at a faster rate than the thicker yam throughout the observation period.</w:t>
      </w:r>
    </w:p>
    <w:p>
      <w:pPr>
        <w:pStyle w:val="style4"/>
        <w:jc w:val="both"/>
        <w:rPr>
          <w:rFonts w:ascii="Times New Roman" w:eastAsia="Times New Roman" w:hAnsi="Times New Roman"/>
          <w:b w:val="false"/>
          <w:bCs w:val="false"/>
          <w:sz w:val="24"/>
          <w:szCs w:val="24"/>
        </w:rPr>
      </w:pPr>
      <w:r>
        <w:rPr>
          <w:rFonts w:ascii="Times New Roman" w:eastAsia="Times New Roman" w:hAnsi="Times New Roman"/>
          <w:b w:val="false"/>
          <w:bCs w:val="false"/>
          <w:sz w:val="24"/>
          <w:szCs w:val="24"/>
        </w:rPr>
        <w:t>Interestingly, at the 12-hour mark, both thicknesses returned to their previous shrinkage percentages. This stabilization suggests that both yams reached an equilibrium state after the 9-hour point. The cessation of further shrinkage indicates that both samples had likely lost as much moisture as possible under the given conditions.</w:t>
      </w:r>
    </w:p>
    <w:p>
      <w:pPr>
        <w:pStyle w:val="style4"/>
        <w:jc w:val="both"/>
        <w:rPr>
          <w:rFonts w:ascii="Times New Roman" w:eastAsia="Times New Roman" w:hAnsi="Times New Roman"/>
          <w:b w:val="false"/>
          <w:bCs w:val="false"/>
          <w:sz w:val="24"/>
          <w:szCs w:val="24"/>
        </w:rPr>
      </w:pPr>
    </w:p>
    <w:p>
      <w:pPr>
        <w:pStyle w:val="style4"/>
        <w:jc w:val="both"/>
        <w:rPr>
          <w:rFonts w:ascii="Times New Roman" w:eastAsia="Times New Roman" w:hAnsi="Times New Roman"/>
          <w:sz w:val="24"/>
          <w:szCs w:val="24"/>
        </w:rPr>
      </w:pPr>
      <w:r>
        <w:rPr>
          <w:rFonts w:ascii="Times New Roman" w:eastAsia="Times New Roman" w:hAnsi="Times New Roman"/>
          <w:sz w:val="24"/>
          <w:szCs w:val="24"/>
        </w:rPr>
        <w:t>Discussion</w:t>
      </w:r>
    </w:p>
    <w:p>
      <w:pPr>
        <w:pStyle w:val="style0"/>
        <w:spacing w:before="100" w:beforeAutospacing="true" w:after="100" w:afterAutospacing="true"/>
        <w:jc w:val="both"/>
        <w:rPr/>
      </w:pPr>
      <w:r>
        <w:t>The shrinkage behavior observed in yam slices of different thicknesses provides valuable insights into the drying process. The divergence in shrinkage between the two thicknesses became evident after 3 hours, with the thinner yam shrinking more rapidly. This can be attributed to its larger surface area-to-volume ratio, facilitating faster moisture loss and structural collapse.</w:t>
      </w:r>
    </w:p>
    <w:p>
      <w:pPr>
        <w:pStyle w:val="style0"/>
        <w:spacing w:before="100" w:beforeAutospacing="true" w:after="100" w:afterAutospacing="true"/>
        <w:jc w:val="both"/>
        <w:rPr/>
      </w:pPr>
      <w:r>
        <w:t>By the 6-hour mark, the higher shrinkage in the thinner yam indicated a faster rate of moisture loss, possibly due to less resistance to drying. This observation aligns with previous research indicating that thinner materials tend to shrink faster due to their structural properties (Saha, 2019).</w:t>
      </w:r>
    </w:p>
    <w:p>
      <w:pPr>
        <w:pStyle w:val="style0"/>
        <w:spacing w:before="100" w:beforeAutospacing="true" w:after="100" w:afterAutospacing="true"/>
        <w:jc w:val="both"/>
        <w:rPr/>
      </w:pPr>
      <w:r>
        <w:t>At 9 hours, the consistent pattern of faster shrinkage in the thinner yam throughout the observation period confirms that thinner materials can maintain a higher rate of shrinkage over extended periods (Martinez et al., 2018).</w:t>
      </w:r>
    </w:p>
    <w:p>
      <w:pPr>
        <w:pStyle w:val="style0"/>
        <w:spacing w:before="100" w:beforeAutospacing="true" w:after="100" w:afterAutospacing="true"/>
        <w:jc w:val="both"/>
        <w:rPr/>
      </w:pPr>
      <w:r>
        <w:t>At the 12-hour mark, the stabilization of shrinkage suggests that both yams had reached an equilibrium state after the 9-hour point. The cessation of further shrinkage indicates that both samples had likely lost as much moisture as possible under the given conditions. According to Purslow et al. (2016), materials often undergo a phase where further shrinkage ceases as they reach moisture equilibrium with the environment.</w:t>
      </w:r>
    </w:p>
    <w:p>
      <w:pPr>
        <w:pStyle w:val="style0"/>
        <w:spacing w:before="100" w:beforeAutospacing="true" w:after="100" w:afterAutospacing="true"/>
        <w:jc w:val="both"/>
        <w:outlineLvl w:val="3"/>
        <w:rPr>
          <w:b/>
          <w:bCs/>
        </w:rPr>
      </w:pPr>
      <w:r>
        <w:rPr>
          <w:b/>
          <w:bCs/>
        </w:rPr>
        <w:t>References</w:t>
      </w:r>
    </w:p>
    <w:p>
      <w:pPr>
        <w:pStyle w:val="style0"/>
        <w:numPr>
          <w:ilvl w:val="0"/>
          <w:numId w:val="1"/>
        </w:numPr>
        <w:spacing w:before="100" w:beforeAutospacing="true" w:after="100" w:afterAutospacing="true"/>
        <w:jc w:val="both"/>
        <w:rPr/>
      </w:pPr>
      <w:r>
        <w:t>Martinez, M. M., Li, C., Okoniewska, M., Mukherjee, I., Vellucci, D., &amp; Hamaker, B. (2018). Slowly digestible starch in fully gelatinized material is structurally driven by molecular size and A and B1 chain lengths. Carbohydrate Polymers, 197, 531-539.</w:t>
      </w:r>
    </w:p>
    <w:p>
      <w:pPr>
        <w:pStyle w:val="style0"/>
        <w:numPr>
          <w:ilvl w:val="0"/>
          <w:numId w:val="1"/>
        </w:numPr>
        <w:spacing w:before="100" w:beforeAutospacing="true" w:after="100" w:afterAutospacing="true"/>
        <w:jc w:val="both"/>
        <w:rPr/>
      </w:pPr>
      <w:r>
        <w:t>Saha, B. (2019). Development of shrinkage drying model for prediction of changes in quality indicators during drying of fruits and vegetables (Doctoral dissertation, UNSW Sydney).</w:t>
      </w:r>
    </w:p>
    <w:p>
      <w:pPr>
        <w:pStyle w:val="style0"/>
        <w:numPr>
          <w:ilvl w:val="0"/>
          <w:numId w:val="1"/>
        </w:numPr>
        <w:spacing w:before="100" w:beforeAutospacing="true" w:after="100" w:afterAutospacing="true"/>
        <w:jc w:val="both"/>
        <w:rPr/>
      </w:pPr>
      <w:r>
        <w:t>Purslow, P. P., Oiseth, S., Hughes, J., &amp; Warner, R. D. (2016). The structural basis of cooking loss in beef: Variations with temperature and ageing. Food Research International, 89, 739-748.</w:t>
      </w:r>
    </w:p>
    <w:p>
      <w:pPr>
        <w:pStyle w:val="style0"/>
        <w:jc w:val="both"/>
        <w:rPr/>
      </w:pPr>
    </w:p>
    <w:p>
      <w:pPr>
        <w:pStyle w:val="style0"/>
        <w:jc w:val="both"/>
        <w:rPr/>
      </w:pPr>
    </w:p>
    <w:p>
      <w:pPr>
        <w:pStyle w:val="style0"/>
        <w:jc w:val="both"/>
        <w:rPr/>
      </w:pPr>
    </w:p>
    <w:p>
      <w:pPr>
        <w:pStyle w:val="style0"/>
        <w:jc w:val="both"/>
        <w:rPr>
          <w:noProof/>
        </w:rPr>
      </w:pPr>
      <w:r>
        <w:rPr>
          <w:noProof/>
        </w:rPr>
        <w:drawing>
          <wp:inline distL="0" distT="0" distB="0" distR="0">
            <wp:extent cx="5943600" cy="417195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4171950"/>
                    </a:xfrm>
                    <a:prstGeom prst="rect"/>
                    <a:ln>
                      <a:noFill/>
                    </a:ln>
                  </pic:spPr>
                </pic:pic>
              </a:graphicData>
            </a:graphic>
          </wp:inline>
        </w:drawing>
      </w:r>
    </w:p>
    <w:p>
      <w:pPr>
        <w:pStyle w:val="style3"/>
        <w:jc w:val="both"/>
        <w:rPr>
          <w:sz w:val="24"/>
          <w:szCs w:val="24"/>
          <w:lang w:val="en-US"/>
        </w:rPr>
      </w:pPr>
    </w:p>
    <w:p>
      <w:pPr>
        <w:pStyle w:val="style3"/>
        <w:jc w:val="both"/>
        <w:rPr>
          <w:sz w:val="24"/>
          <w:szCs w:val="24"/>
        </w:rPr>
      </w:pPr>
      <w:r>
        <w:rPr>
          <w:sz w:val="24"/>
          <w:szCs w:val="24"/>
        </w:rPr>
        <w:t>Analysis of Moisture Gain Percentage at Different Time Intervals</w:t>
      </w:r>
    </w:p>
    <w:p>
      <w:pPr>
        <w:pStyle w:val="style94"/>
        <w:jc w:val="both"/>
        <w:rPr/>
      </w:pPr>
      <w:r>
        <w:t>Understanding the behavior of moisture gain in materials over time is crucial for various applications, including construction, agriculture, and materials science. This analysis examines moisture gain percentages at different time intervals for two measurements: 1 inch and 2.5 inches.</w:t>
      </w:r>
    </w:p>
    <w:p>
      <w:pPr>
        <w:pStyle w:val="style94"/>
        <w:jc w:val="both"/>
        <w:rPr/>
      </w:pPr>
      <w:r>
        <w:t>The data reveals a clear trend in moisture gain over time for both measurements. Initially, at 30 minutes, the 2.5-inch measurement shows a higher moisture gain percentage (13%) compared to the 1-inch measurement (11.7%). This indicates that at the outset, the material with a greater thickness absorbs moisture more rapidly.</w:t>
      </w:r>
    </w:p>
    <w:p>
      <w:pPr>
        <w:pStyle w:val="style94"/>
        <w:jc w:val="both"/>
        <w:rPr/>
      </w:pPr>
      <w:r>
        <w:t>As time progresses, the moisture gain percentage for both measurements decreases. At 60 minutes, the 1-inch measurement (10.5%) surpasses the 2.5-inch measurement (8.2%) in moisture gain. This shift suggests that while the 2.5-inch measurement initially absorbs moisture more quickly, the rate of gain slows down more rapidly compared to the 1-inch measurement.</w:t>
      </w:r>
    </w:p>
    <w:p>
      <w:pPr>
        <w:pStyle w:val="style94"/>
        <w:jc w:val="both"/>
        <w:rPr/>
      </w:pPr>
      <w:r>
        <w:t>By 90 minutes, the 1-inch measurement continues to exhibit a higher moisture gain percentage (10%) compared to the 2.5-inch measurement (7%). The trend of the 1-inch measurement maintaining a higher moisture gain percentage persists until 120 minutes, when both measurements reach similar levels of moisture gain—4% for the 1-inch and 3.8% for the 2.5-inch measurement.</w:t>
      </w:r>
    </w:p>
    <w:p>
      <w:pPr>
        <w:pStyle w:val="style94"/>
        <w:jc w:val="both"/>
        <w:rPr/>
      </w:pPr>
      <w:r>
        <w:t>From 120 minutes onwards, the moisture gain percentages for both measurements stabilize. By 150 and 180 minutes, both the 1-inch and 2.5-inch measurements show a moisture gain percentage of 3.8% and 2.5%, respectively. The data demonstrates that after an initial period of significant moisture absorption, the rate of moisture gain diminishes and eventually levels off.</w:t>
      </w:r>
    </w:p>
    <w:p>
      <w:pPr>
        <w:pStyle w:val="style94"/>
        <w:jc w:val="both"/>
        <w:rPr/>
      </w:pPr>
      <w:r>
        <w:t>In summary, the data indicates that the 2.5-inch measurement absorbs moisture more quickly at the beginning but reaches similar moisture levels to the 1-inch measurement after a period of time. The 1-inch measurement exhibits a higher moisture gain for a longer duration before both measurements converge. This analysis highlights the dynamic nature of moisture absorption and its dependence on the measurement thickness and time.</w:t>
      </w:r>
    </w:p>
    <w:p>
      <w:pPr>
        <w:pStyle w:val="style94"/>
        <w:jc w:val="both"/>
        <w:rPr/>
      </w:pPr>
      <w:r>
        <w:t>Understanding these patterns is essential for optimizing material performance and predicting behavior in various environments. Whether for practical applications or theoretical research, such insights are valuable for improving material durability and functionality.</w:t>
      </w:r>
    </w:p>
    <w:p>
      <w:pPr>
        <w:pStyle w:val="style3"/>
        <w:jc w:val="both"/>
        <w:rPr>
          <w:sz w:val="24"/>
          <w:szCs w:val="24"/>
        </w:rPr>
      </w:pPr>
      <w:r>
        <w:rPr>
          <w:sz w:val="24"/>
          <w:szCs w:val="24"/>
        </w:rPr>
        <w:t>Discussion</w:t>
      </w:r>
    </w:p>
    <w:p>
      <w:pPr>
        <w:pStyle w:val="style0"/>
        <w:spacing w:before="100" w:beforeAutospacing="true" w:after="100" w:afterAutospacing="true"/>
        <w:jc w:val="both"/>
        <w:rPr/>
      </w:pPr>
      <w:r>
        <w:t>The observed trends in moisture gain for different measurements over time provide meaningful insights into material behavior under varying conditions. At the initial 30-minute interval, the 2.5-inch measurement absorbs moisture at a higher rate (13%) compared to the 1-inch measurement (11.7%). This rapid initial absorption can be attributed to the larger surface area or greater volume of the 2.5-inch measurement, allowing it to accommodate more moisture initially. This result corroborates the findings of Alabi (2023), who observed that materials with larger surface areas typically show an initial rapid increase in moisture absorption due to their structure.</w:t>
      </w:r>
    </w:p>
    <w:p>
      <w:pPr>
        <w:pStyle w:val="style0"/>
        <w:spacing w:before="100" w:beforeAutospacing="true" w:after="100" w:afterAutospacing="true"/>
        <w:jc w:val="both"/>
        <w:rPr/>
      </w:pPr>
      <w:r>
        <w:t>As time progresses, the moisture gain percentage for the 1-inch measurement surpasses that of the 2.5-inch measurement by 60 minutes. This shift suggests that the rate of moisture absorption for the 2.5-inch measurement decreases more rapidly. Zhou et al. (2019) found similar trends, indicating that while thicker samples may initially absorb more moisture, their absorption rate decreases more quickly compared to smaller samples. This result corroborates their findings by showing that the 2.5-inch measurement experiences a faster decline in moisture absorption rate over time.</w:t>
      </w:r>
    </w:p>
    <w:p>
      <w:pPr>
        <w:pStyle w:val="style0"/>
        <w:spacing w:before="100" w:beforeAutospacing="true" w:after="100" w:afterAutospacing="true"/>
        <w:jc w:val="both"/>
        <w:rPr/>
      </w:pPr>
      <w:r>
        <w:t>By 90 minutes, the 1-inch measurement maintains a higher moisture gain percentage, which continues until 120 minutes, when both measurements converge in their moisture gain percentages. This stabilization of moisture gain percentages after 120 minutes reflects the material's capacity to absorb moisture reaching equilibrium. Zambrano et al. (2019) support this observation, noting that initial moisture absorption rates are higher and gradually stabilize as the material reaches a steady-state condition. This result corroborates their findings by demonstrating that both measurements stabilize at similar moisture levels after a certain period.</w:t>
      </w:r>
    </w:p>
    <w:p>
      <w:pPr>
        <w:pStyle w:val="style0"/>
        <w:spacing w:before="100" w:beforeAutospacing="true" w:after="100" w:afterAutospacing="true"/>
        <w:jc w:val="both"/>
        <w:rPr/>
      </w:pPr>
      <w:r>
        <w:t>The stabilization seen at 150 and 180 minutes, where both measurements exhibit similar moisture gain percentages, corroborates the findings of Farsad et al. (2023). Their study on material moisture dynamics showed that while thicker samples may initially show higher absorption rates, the rate of moisture gain decreases over time, leading to similar moisture levels across different sample sizes. This result aligns with their observations, confirming that both measurements reach similar moisture levels after an initial period of rapid absorption.</w:t>
      </w:r>
    </w:p>
    <w:p>
      <w:pPr>
        <w:pStyle w:val="style0"/>
        <w:spacing w:before="100" w:beforeAutospacing="true" w:after="100" w:afterAutospacing="true"/>
        <w:outlineLvl w:val="3"/>
        <w:rPr>
          <w:b/>
          <w:bCs/>
        </w:rPr>
      </w:pPr>
      <w:r>
        <w:rPr>
          <w:b/>
          <w:bCs/>
        </w:rPr>
        <w:t>References</w:t>
      </w:r>
    </w:p>
    <w:p>
      <w:pPr>
        <w:pStyle w:val="style0"/>
        <w:numPr>
          <w:ilvl w:val="0"/>
          <w:numId w:val="8"/>
        </w:numPr>
        <w:spacing w:before="100" w:beforeAutospacing="true" w:after="100" w:afterAutospacing="true"/>
        <w:rPr/>
      </w:pPr>
      <w:r>
        <w:t>Alabi, O. O. (2023). Characterization and modification of Bambara groundnut globulin fractions for the enhancement of functional properties (Doctoral dissertation).</w:t>
      </w:r>
    </w:p>
    <w:p>
      <w:pPr>
        <w:pStyle w:val="style0"/>
        <w:numPr>
          <w:ilvl w:val="0"/>
          <w:numId w:val="8"/>
        </w:numPr>
        <w:spacing w:before="100" w:beforeAutospacing="true" w:after="100" w:afterAutospacing="true"/>
        <w:rPr/>
      </w:pPr>
      <w:r>
        <w:t>Farsad, A., Marcos-Hernandez, M., Sinha, S., &amp; Westerhoff, P. (2023). Sous Vide-Inspired Impregnation of Amorphous Titanium (Hydr) Oxide into Carbon Block Point-of-Use Filters for Arsenic Removal from Water. Environmental science &amp; technology, 57(48), 20410-20420.</w:t>
      </w:r>
    </w:p>
    <w:p>
      <w:pPr>
        <w:pStyle w:val="style0"/>
        <w:numPr>
          <w:ilvl w:val="0"/>
          <w:numId w:val="8"/>
        </w:numPr>
        <w:spacing w:before="100" w:beforeAutospacing="true" w:after="100" w:afterAutospacing="true"/>
        <w:rPr/>
      </w:pPr>
      <w:r>
        <w:t>Zhou, M., Li, C., Bi, J., Jin, X., Lyu, J., &amp; Li, X. (2019). Towards understanding the enhancement of moisture diffusion during intermediate-infrared drying of peach pomace based on the glass transition theory. Innovative Food Science &amp; Emerging Technologies, 54, 143-151.</w:t>
      </w:r>
    </w:p>
    <w:p>
      <w:pPr>
        <w:pStyle w:val="style0"/>
        <w:numPr>
          <w:ilvl w:val="0"/>
          <w:numId w:val="8"/>
        </w:numPr>
        <w:spacing w:before="100" w:beforeAutospacing="true" w:after="100" w:afterAutospacing="true"/>
        <w:rPr/>
      </w:pPr>
      <w:r>
        <w:t>Zambrano, M. V., Dutta, B., Mercer, D. G., MacLean, H. L., &amp; Touchie, M. F. (2019). Assessment of moisture content measurement methods of dried food products in small-scale operations in developing countries: A review. Trends in Food Science &amp; Technology, 88, 484-496.</w:t>
      </w:r>
    </w:p>
    <w:p>
      <w:pPr>
        <w:pStyle w:val="style3"/>
        <w:jc w:val="both"/>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3" w:usb1="10000000" w:usb2="00000000" w:usb3="00000000" w:csb0="80000001" w:csb1="00000000"/>
  </w:font>
  <w:font w:name="Times New Roman">
    <w:altName w:val="Times New Roman"/>
    <w:panose1 w:val="02020603050004020304"/>
    <w:charset w:val="00"/>
    <w:family w:val="roman"/>
    <w:pitch w:val="variable"/>
    <w:sig w:usb0="E0007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1C0BD32"/>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4">
    <w:nsid w:val="00000004"/>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0"/>
  </w:num>
  <w:num w:numId="5">
    <w:abstractNumId w:val="6"/>
  </w:num>
  <w:num w:numId="6">
    <w:abstractNumId w:val="3"/>
  </w:num>
  <w:num w:numId="7">
    <w:abstractNumId w:val="5"/>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bidi="ar-SA" w:eastAsia="en-GB"/>
      </w:rPr>
    </w:rPrDefault>
    <w:pPrDefault>
      <w:pPr/>
    </w:pPrDefault>
  </w:docDefaults>
  <w:style w:type="paragraph" w:default="1" w:styleId="style0">
    <w:name w:val="Normal"/>
    <w:next w:val="style0"/>
    <w:qFormat/>
    <w:pPr/>
    <w:rPr>
      <w:rFonts w:ascii="Times New Roman" w:eastAsia="Times New Roman" w:hAnsi="Times New Roman"/>
      <w:sz w:val="24"/>
      <w:szCs w:val="24"/>
    </w:rPr>
  </w:style>
  <w:style w:type="paragraph" w:styleId="style3">
    <w:name w:val="heading 3"/>
    <w:basedOn w:val="style0"/>
    <w:next w:val="style3"/>
    <w:link w:val="style4097"/>
    <w:qFormat/>
    <w:uiPriority w:val="9"/>
    <w:pPr>
      <w:spacing w:before="100" w:beforeAutospacing="true" w:after="100" w:afterAutospacing="true"/>
      <w:outlineLvl w:val="2"/>
    </w:pPr>
    <w:rPr>
      <w:b/>
      <w:bCs/>
      <w:sz w:val="27"/>
      <w:szCs w:val="27"/>
    </w:rPr>
  </w:style>
  <w:style w:type="paragraph" w:styleId="style4">
    <w:name w:val="heading 4"/>
    <w:basedOn w:val="style0"/>
    <w:next w:val="style0"/>
    <w:link w:val="style4098"/>
    <w:qFormat/>
    <w:uiPriority w:val="9"/>
    <w:pPr>
      <w:keepNext/>
      <w:spacing w:before="240" w:after="60"/>
      <w:outlineLvl w:val="3"/>
    </w:pPr>
    <w:rPr>
      <w:rFonts w:ascii="Calibri" w:eastAsia="SimSun" w:hAnsi="Calibri"/>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customStyle="1" w:styleId="style4097">
    <w:name w:val="Heading 3 Char_695bc98d-23d8-4da3-918e-fcb5e473bd10"/>
    <w:next w:val="style4097"/>
    <w:link w:val="style3"/>
    <w:uiPriority w:val="9"/>
    <w:rPr>
      <w:rFonts w:ascii="Times New Roman" w:eastAsia="Times New Roman" w:hAnsi="Times New Roman"/>
      <w:b/>
      <w:bCs/>
      <w:sz w:val="27"/>
      <w:szCs w:val="27"/>
      <w:lang w:eastAsia="en-GB"/>
    </w:rPr>
  </w:style>
  <w:style w:type="paragraph" w:styleId="style94">
    <w:name w:val="Normal (Web)"/>
    <w:basedOn w:val="style0"/>
    <w:next w:val="style94"/>
    <w:uiPriority w:val="99"/>
    <w:pPr>
      <w:spacing w:before="100" w:beforeAutospacing="true" w:after="100" w:afterAutospacing="true"/>
    </w:pPr>
    <w:rPr/>
  </w:style>
  <w:style w:type="character" w:styleId="style88">
    <w:name w:val="Emphasis"/>
    <w:next w:val="style88"/>
    <w:qFormat/>
    <w:uiPriority w:val="20"/>
    <w:rPr>
      <w:i/>
      <w:iCs/>
    </w:rPr>
  </w:style>
  <w:style w:type="character" w:customStyle="1" w:styleId="style4098">
    <w:name w:val="Heading 4 Char_ad684f18-85c8-47a8-82a4-bd28208dc94a"/>
    <w:next w:val="style4098"/>
    <w:link w:val="style4"/>
    <w:uiPriority w:val="9"/>
    <w:rPr>
      <w:rFonts w:ascii="Calibri" w:cs="Times New Roman" w:eastAsia="SimSun" w:hAnsi="Calibri"/>
      <w:b/>
      <w:bCs/>
      <w:sz w:val="28"/>
      <w:szCs w:val="28"/>
      <w:lang w:eastAsia="en-GB"/>
    </w:rPr>
  </w:style>
  <w:style w:type="character" w:styleId="style87">
    <w:name w:val="Strong"/>
    <w:next w:val="style87"/>
    <w:qFormat/>
    <w:uiPriority w:val="22"/>
    <w:rPr>
      <w:b/>
      <w:bCs/>
    </w:rPr>
  </w:style>
  <w:style w:type="paragraph" w:styleId="style31">
    <w:name w:val="header"/>
    <w:basedOn w:val="style0"/>
    <w:next w:val="style31"/>
    <w:link w:val="style4099"/>
    <w:uiPriority w:val="99"/>
    <w:pPr>
      <w:tabs>
        <w:tab w:val="center" w:leader="none" w:pos="4513"/>
        <w:tab w:val="right" w:leader="none" w:pos="9026"/>
      </w:tabs>
    </w:pPr>
    <w:rPr/>
  </w:style>
  <w:style w:type="character" w:customStyle="1" w:styleId="style4099">
    <w:name w:val="Header Char_b5adb3eb-615a-42c3-a35f-02b0e0bdb906"/>
    <w:next w:val="style4099"/>
    <w:link w:val="style31"/>
    <w:uiPriority w:val="99"/>
    <w:rPr>
      <w:rFonts w:ascii="Times New Roman" w:eastAsia="Times New Roman" w:hAnsi="Times New Roman"/>
      <w:sz w:val="24"/>
      <w:szCs w:val="24"/>
      <w:lang w:eastAsia="en-GB"/>
    </w:rPr>
  </w:style>
  <w:style w:type="paragraph" w:styleId="style32">
    <w:name w:val="footer"/>
    <w:basedOn w:val="style0"/>
    <w:next w:val="style32"/>
    <w:link w:val="style4100"/>
    <w:uiPriority w:val="99"/>
    <w:pPr>
      <w:tabs>
        <w:tab w:val="center" w:leader="none" w:pos="4513"/>
        <w:tab w:val="right" w:leader="none" w:pos="9026"/>
      </w:tabs>
    </w:pPr>
    <w:rPr/>
  </w:style>
  <w:style w:type="character" w:customStyle="1" w:styleId="style4100">
    <w:name w:val="Footer Char_ae84b0b4-dcd6-4173-9154-59bed196ff9d"/>
    <w:next w:val="style4100"/>
    <w:link w:val="style32"/>
    <w:uiPriority w:val="99"/>
    <w:rPr>
      <w:rFonts w:ascii="Times New Roman" w:eastAsia="Times New Roman" w:hAnsi="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Words>1449</Words>
  <Pages>5</Pages>
  <Characters>8476</Characters>
  <Application>WPS Office</Application>
  <DocSecurity>0</DocSecurity>
  <Paragraphs>83</Paragraphs>
  <ScaleCrop>false</ScaleCrop>
  <LinksUpToDate>false</LinksUpToDate>
  <CharactersWithSpaces>9858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2024-08-04T21:46:00Z</dcterms:created>
  <dc:creator>22120RN86G</dc:creator>
  <lastModifiedBy>SM-N960U</lastModifiedBy>
  <dcterms:modified xsi:type="dcterms:W3CDTF">2024-08-16T08:25:04Z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f5026178a98c4ac8bfed7e58a4cf4d26</vt:lpwstr>
  </property>
</Properties>
</file>