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before="0" w:line="252" w:lineRule="auto"/>
        <w:jc w:val="center"/>
      </w:pPr>
      <w:r>
        <w:rPr>
          <w:rFonts w:ascii="맑은 고딕" w:hAnsi="맑은 고딕" w:eastAsia="맑은 고딕"/>
          <w:b/>
          <w:sz w:val="26"/>
        </w:rPr>
        <w:t>&lt; 요 약 문 &gt;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val="clear" w:fill="F2F2F2"/>
          </w:tcPr>
          <w:p>
            <w:pPr>
              <w:spacing w:after="0" w:before="0" w:line="247" w:lineRule="auto"/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사업명</w:t>
            </w:r>
          </w:p>
        </w:tc>
        <w:tc>
          <w:tcPr>
            <w:tcW w:type="dxa" w:w="7597"/>
            <w:vAlign w:val="center"/>
          </w:tcPr>
          <w:p>
            <w:pPr>
              <w:spacing w:after="0" w:before="0" w:line="247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제10회 2026 미래에셋증권 AI Festival</w:t>
            </w:r>
          </w:p>
        </w:tc>
      </w:tr>
      <w:tr>
        <w:tc>
          <w:tcPr>
            <w:tcW w:type="dxa" w:w="2268"/>
            <w:vAlign w:val="center"/>
            <w:shd w:val="clear" w:fill="F2F2F2"/>
          </w:tcPr>
          <w:p>
            <w:pPr>
              <w:spacing w:after="0" w:before="0" w:line="247" w:lineRule="auto"/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총괄연구개발과제번호</w:t>
            </w:r>
          </w:p>
          <w:p>
            <w:pPr>
              <w:spacing w:after="0" w:before="0" w:line="247" w:lineRule="auto"/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(해당 시 작성)</w:t>
            </w:r>
          </w:p>
        </w:tc>
        <w:tc>
          <w:tcPr>
            <w:tcW w:type="dxa" w:w="7597"/>
            <w:vAlign w:val="center"/>
          </w:tcPr>
          <w:p>
            <w:pPr>
              <w:spacing w:after="0" w:before="0" w:line="247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  <w:shd w:val="clear" w:fill="F2F2F2"/>
          </w:tcPr>
          <w:p>
            <w:pPr>
              <w:spacing w:after="0" w:before="0" w:line="247" w:lineRule="auto"/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내역사업명</w:t>
            </w:r>
          </w:p>
          <w:p>
            <w:pPr>
              <w:spacing w:after="0" w:before="0" w:line="247" w:lineRule="auto"/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(해당 시 작성)</w:t>
            </w:r>
          </w:p>
        </w:tc>
        <w:tc>
          <w:tcPr>
            <w:tcW w:type="dxa" w:w="7597"/>
            <w:vAlign w:val="center"/>
          </w:tcPr>
          <w:p>
            <w:pPr>
              <w:spacing w:after="0" w:before="0" w:line="247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공시 Agent (Disclosure Analyst)</w:t>
            </w:r>
          </w:p>
        </w:tc>
      </w:tr>
      <w:tr>
        <w:tc>
          <w:tcPr>
            <w:tcW w:type="dxa" w:w="2268"/>
            <w:vAlign w:val="center"/>
            <w:shd w:val="clear" w:fill="F2F2F2"/>
          </w:tcPr>
          <w:p>
            <w:pPr>
              <w:spacing w:after="0" w:before="0" w:line="247" w:lineRule="auto"/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연구개발과제번호</w:t>
            </w:r>
          </w:p>
        </w:tc>
        <w:tc>
          <w:tcPr>
            <w:tcW w:type="dxa" w:w="7597"/>
            <w:vAlign w:val="center"/>
          </w:tcPr>
          <w:p>
            <w:pPr>
              <w:spacing w:after="0" w:before="0" w:line="247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ARGUS-2026-DA</w:t>
            </w:r>
          </w:p>
        </w:tc>
      </w:tr>
      <w:tr>
        <w:tc>
          <w:tcPr>
            <w:tcW w:type="dxa" w:w="2268"/>
            <w:vAlign w:val="center"/>
            <w:shd w:val="clear" w:fill="F2F2F2"/>
          </w:tcPr>
          <w:p>
            <w:pPr>
              <w:spacing w:after="0" w:before="0" w:line="247" w:lineRule="auto"/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기술분류</w:t>
            </w:r>
          </w:p>
        </w:tc>
        <w:tc>
          <w:tcPr>
            <w:tcW w:type="dxa" w:w="7597"/>
            <w:vAlign w:val="center"/>
          </w:tcPr>
          <w:p>
            <w:pPr>
              <w:spacing w:after="0" w:before="0" w:line="247" w:lineRule="auto"/>
            </w:pPr>
            <w:r>
              <w:rPr>
                <w:rFonts w:ascii="맑은 고딕" w:hAnsi="맑은 고딕" w:eastAsia="맑은 고딕"/>
                <w:b w:val="0"/>
                <w:sz w:val="15"/>
              </w:rPr>
              <w:t>국가과학기술표준분류   1순위 인공지능 (EE0108) 50%   2순위 정보검색 (EE0602) 30%   3순위 금융정보 (HG0401) 20%</w:t>
            </w:r>
          </w:p>
          <w:p>
            <w:pPr>
              <w:spacing w:after="0" w:before="0" w:line="247" w:lineRule="auto"/>
            </w:pPr>
            <w:r>
              <w:rPr>
                <w:rFonts w:ascii="맑은 고딕" w:hAnsi="맑은 고딕" w:eastAsia="맑은 고딕"/>
                <w:b w:val="0"/>
                <w:sz w:val="15"/>
              </w:rPr>
              <w:t>ICT기술분류   1순위 기타ICT융합기술 (850605) 40%   2순위 의사결정 (210102) 30%   3순위 데이터 확산/활용 기술 (210203) 30%</w:t>
            </w:r>
          </w:p>
        </w:tc>
      </w:tr>
      <w:tr>
        <w:tc>
          <w:tcPr>
            <w:tcW w:type="dxa" w:w="2268"/>
            <w:vAlign w:val="center"/>
            <w:shd w:val="clear" w:fill="F2F2F2"/>
          </w:tcPr>
          <w:p>
            <w:pPr>
              <w:spacing w:after="0" w:before="0" w:line="247" w:lineRule="auto"/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총괄연구개발과제명</w:t>
            </w:r>
          </w:p>
          <w:p>
            <w:pPr>
              <w:spacing w:after="0" w:before="0" w:line="247" w:lineRule="auto"/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(해당 시 작성)</w:t>
            </w:r>
          </w:p>
        </w:tc>
        <w:tc>
          <w:tcPr>
            <w:tcW w:type="dxa" w:w="7597"/>
            <w:vAlign w:val="center"/>
          </w:tcPr>
          <w:p>
            <w:pPr>
              <w:spacing w:after="0" w:before="0" w:line="247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c>
          <w:tcPr>
            <w:tcW w:type="dxa" w:w="2268"/>
            <w:vAlign w:val="center"/>
            <w:shd w:val="clear" w:fill="F2F2F2"/>
          </w:tcPr>
          <w:p>
            <w:pPr>
              <w:spacing w:after="0" w:before="0" w:line="247" w:lineRule="auto"/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연구개발과제명</w:t>
            </w:r>
          </w:p>
        </w:tc>
        <w:tc>
          <w:tcPr>
            <w:tcW w:type="dxa" w:w="7597"/>
            <w:vAlign w:val="center"/>
          </w:tcPr>
          <w:p>
            <w:pPr>
              <w:spacing w:after="0" w:before="0" w:line="247" w:lineRule="auto"/>
            </w:pPr>
            <w:r>
              <w:rPr>
                <w:rFonts w:ascii="맑은 고딕" w:hAnsi="맑은 고딕" w:eastAsia="맑은 고딕"/>
                <w:b/>
                <w:sz w:val="16"/>
              </w:rPr>
              <w:t>공시들 사이의 관계를 읽는 근거 추적형 전자공시 질의응답 서비스 ARGUS 개발</w:t>
            </w:r>
          </w:p>
        </w:tc>
      </w:tr>
      <w:tr>
        <w:tc>
          <w:tcPr>
            <w:tcW w:type="dxa" w:w="2268"/>
            <w:vAlign w:val="center"/>
            <w:shd w:val="clear" w:fill="F2F2F2"/>
          </w:tcPr>
          <w:p>
            <w:pPr>
              <w:spacing w:after="0" w:before="0" w:line="247" w:lineRule="auto"/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전체 연구개발기간</w:t>
            </w:r>
          </w:p>
        </w:tc>
        <w:tc>
          <w:tcPr>
            <w:tcW w:type="dxa" w:w="7597"/>
            <w:vAlign w:val="center"/>
          </w:tcPr>
          <w:p>
            <w:pPr>
              <w:spacing w:after="0" w:before="0" w:line="247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총 1개월 10일 (2026-07-27 ~ 2026-09-06)</w:t>
            </w:r>
          </w:p>
        </w:tc>
      </w:tr>
      <w:tr>
        <w:tc>
          <w:tcPr>
            <w:tcW w:type="dxa" w:w="2268"/>
            <w:vAlign w:val="center"/>
            <w:shd w:val="clear" w:fill="F2F2F2"/>
          </w:tcPr>
          <w:p>
            <w:pPr>
              <w:spacing w:after="0" w:before="0" w:line="247" w:lineRule="auto"/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총 연구개발비</w:t>
            </w:r>
          </w:p>
        </w:tc>
        <w:tc>
          <w:tcPr>
            <w:tcW w:type="dxa" w:w="7597"/>
            <w:vAlign w:val="center"/>
          </w:tcPr>
          <w:p>
            <w:pPr>
              <w:spacing w:after="0" w:before="0" w:line="247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HyperCLOVA X 토큰 실지출 12,271원 · 서버 운영비 별도 · 외부 유상 데이터 0원</w:t>
            </w:r>
          </w:p>
        </w:tc>
      </w:tr>
      <w:tr>
        <w:tc>
          <w:tcPr>
            <w:tcW w:type="dxa" w:w="2268"/>
            <w:vAlign w:val="center"/>
            <w:shd w:val="clear" w:fill="F2F2F2"/>
          </w:tcPr>
          <w:p>
            <w:pPr>
              <w:spacing w:after="0" w:before="0" w:line="247" w:lineRule="auto"/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연구개발단계</w:t>
            </w:r>
          </w:p>
        </w:tc>
        <w:tc>
          <w:tcPr>
            <w:tcW w:type="dxa" w:w="7597"/>
            <w:vAlign w:val="center"/>
          </w:tcPr>
          <w:p>
            <w:pPr>
              <w:spacing w:after="0" w:before="0" w:line="247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기초[  ]  응용[  ]  개발[○]     기타(위 3가지에 해당되지 않는 경우)[  ]</w:t>
            </w:r>
          </w:p>
        </w:tc>
      </w:tr>
      <w:tr>
        <w:tc>
          <w:tcPr>
            <w:tcW w:type="dxa" w:w="2268"/>
            <w:vAlign w:val="center"/>
            <w:shd w:val="clear" w:fill="F2F2F2"/>
          </w:tcPr>
          <w:p>
            <w:pPr>
              <w:spacing w:after="0" w:before="0" w:line="247" w:lineRule="auto"/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기술성숙도</w:t>
            </w:r>
          </w:p>
        </w:tc>
        <w:tc>
          <w:tcPr>
            <w:tcW w:type="dxa" w:w="7597"/>
            <w:vAlign w:val="center"/>
          </w:tcPr>
          <w:p>
            <w:pPr>
              <w:spacing w:after="0" w:before="0" w:line="247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착수시점 기준 (3)      종료시점 목표 (7)</w:t>
            </w:r>
          </w:p>
        </w:tc>
      </w:tr>
      <w:tr>
        <w:tc>
          <w:tcPr>
            <w:tcW w:type="dxa" w:w="2268"/>
            <w:vAlign w:val="center"/>
            <w:shd w:val="clear" w:fill="F2F2F2"/>
          </w:tcPr>
          <w:p>
            <w:pPr>
              <w:spacing w:after="0" w:before="0" w:line="247" w:lineRule="auto"/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연구개발과제 특성</w:t>
            </w:r>
          </w:p>
          <w:p>
            <w:pPr>
              <w:spacing w:after="0" w:before="0" w:line="247" w:lineRule="auto"/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(해당사항 모두 체크)</w:t>
            </w:r>
          </w:p>
        </w:tc>
        <w:tc>
          <w:tcPr>
            <w:tcW w:type="dxa" w:w="7597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519"/>
              <w:gridCol w:w="1519"/>
              <w:gridCol w:w="1519"/>
              <w:gridCol w:w="1519"/>
              <w:gridCol w:w="1519"/>
            </w:tblGrid>
            <w:tr>
              <w:tc>
                <w:tcPr>
                  <w:tcW w:type="dxa" w:w="1519"/>
                  <w:vAlign w:val="center"/>
                </w:tcPr>
                <w:p>
                  <w:pPr>
                    <w:spacing w:after="0" w:before="0" w:line="247" w:lineRule="auto"/>
                    <w:jc w:val="center"/>
                  </w:pPr>
                  <w:r>
                    <w:rPr>
                      <w:rFonts w:ascii="맑은 고딕" w:hAnsi="맑은 고딕" w:eastAsia="맑은 고딕"/>
                      <w:b w:val="0"/>
                      <w:sz w:val="13"/>
                    </w:rPr>
                    <w:t>기술료비징수</w:t>
                  </w:r>
                </w:p>
                <w:p>
                  <w:pPr>
                    <w:spacing w:after="0" w:before="0" w:line="247" w:lineRule="auto"/>
                    <w:jc w:val="center"/>
                  </w:pPr>
                  <w:r>
                    <w:rPr>
                      <w:rFonts w:ascii="맑은 고딕" w:hAnsi="맑은 고딕" w:eastAsia="맑은 고딕"/>
                      <w:b w:val="0"/>
                      <w:sz w:val="13"/>
                    </w:rPr>
                  </w:r>
                </w:p>
              </w:tc>
              <w:tc>
                <w:tcPr>
                  <w:tcW w:type="dxa" w:w="1519"/>
                  <w:vAlign w:val="center"/>
                </w:tcPr>
                <w:p>
                  <w:pPr>
                    <w:spacing w:after="0" w:before="0" w:line="247" w:lineRule="auto"/>
                    <w:jc w:val="center"/>
                  </w:pPr>
                  <w:r>
                    <w:rPr>
                      <w:rFonts w:ascii="맑은 고딕" w:hAnsi="맑은 고딕" w:eastAsia="맑은 고딕"/>
                      <w:b w:val="0"/>
                      <w:sz w:val="13"/>
                    </w:rPr>
                    <w:t>사회문제해결</w:t>
                  </w:r>
                </w:p>
                <w:p>
                  <w:pPr>
                    <w:spacing w:after="0" w:before="0" w:line="247" w:lineRule="auto"/>
                    <w:jc w:val="center"/>
                  </w:pPr>
                  <w:r>
                    <w:rPr>
                      <w:rFonts w:ascii="맑은 고딕" w:hAnsi="맑은 고딕" w:eastAsia="맑은 고딕"/>
                      <w:b w:val="0"/>
                      <w:sz w:val="13"/>
                    </w:rPr>
                  </w:r>
                </w:p>
              </w:tc>
              <w:tc>
                <w:tcPr>
                  <w:tcW w:type="dxa" w:w="1519"/>
                  <w:vAlign w:val="center"/>
                </w:tcPr>
                <w:p>
                  <w:pPr>
                    <w:spacing w:after="0" w:before="0" w:line="247" w:lineRule="auto"/>
                    <w:jc w:val="center"/>
                  </w:pPr>
                  <w:r>
                    <w:rPr>
                      <w:rFonts w:ascii="맑은 고딕" w:hAnsi="맑은 고딕" w:eastAsia="맑은 고딕"/>
                      <w:b w:val="0"/>
                      <w:sz w:val="13"/>
                    </w:rPr>
                    <w:t>혁신도약형</w:t>
                  </w:r>
                </w:p>
                <w:p>
                  <w:pPr>
                    <w:spacing w:after="0" w:before="0" w:line="247" w:lineRule="auto"/>
                    <w:jc w:val="center"/>
                  </w:pPr>
                  <w:r>
                    <w:rPr>
                      <w:rFonts w:ascii="맑은 고딕" w:hAnsi="맑은 고딕" w:eastAsia="맑은 고딕"/>
                      <w:b w:val="0"/>
                      <w:sz w:val="13"/>
                    </w:rPr>
                  </w:r>
                </w:p>
              </w:tc>
              <w:tc>
                <w:tcPr>
                  <w:tcW w:type="dxa" w:w="1519"/>
                  <w:vAlign w:val="center"/>
                </w:tcPr>
                <w:p>
                  <w:pPr>
                    <w:spacing w:after="0" w:before="0" w:line="247" w:lineRule="auto"/>
                    <w:jc w:val="center"/>
                  </w:pPr>
                  <w:r>
                    <w:rPr>
                      <w:rFonts w:ascii="맑은 고딕" w:hAnsi="맑은 고딕" w:eastAsia="맑은 고딕"/>
                      <w:b w:val="0"/>
                      <w:sz w:val="13"/>
                    </w:rPr>
                    <w:t>경쟁형과제</w:t>
                  </w:r>
                </w:p>
                <w:p>
                  <w:pPr>
                    <w:spacing w:after="0" w:before="0" w:line="247" w:lineRule="auto"/>
                    <w:jc w:val="center"/>
                  </w:pPr>
                  <w:r>
                    <w:rPr>
                      <w:rFonts w:ascii="맑은 고딕" w:hAnsi="맑은 고딕" w:eastAsia="맑은 고딕"/>
                      <w:b w:val="0"/>
                      <w:sz w:val="13"/>
                    </w:rPr>
                  </w:r>
                </w:p>
              </w:tc>
              <w:tc>
                <w:tcPr>
                  <w:tcW w:type="dxa" w:w="1519"/>
                  <w:vAlign w:val="center"/>
                </w:tcPr>
                <w:p>
                  <w:pPr>
                    <w:spacing w:after="0" w:before="0" w:line="247" w:lineRule="auto"/>
                    <w:jc w:val="center"/>
                  </w:pPr>
                  <w:r>
                    <w:rPr>
                      <w:rFonts w:ascii="맑은 고딕" w:hAnsi="맑은 고딕" w:eastAsia="맑은 고딕"/>
                      <w:b w:val="0"/>
                      <w:sz w:val="13"/>
                    </w:rPr>
                    <w:t>표준화연계</w:t>
                  </w:r>
                </w:p>
                <w:p>
                  <w:pPr>
                    <w:spacing w:after="0" w:before="0" w:line="247" w:lineRule="auto"/>
                    <w:jc w:val="center"/>
                  </w:pPr>
                  <w:r>
                    <w:rPr>
                      <w:rFonts w:ascii="맑은 고딕" w:hAnsi="맑은 고딕" w:eastAsia="맑은 고딕"/>
                      <w:b w:val="0"/>
                      <w:sz w:val="13"/>
                    </w:rPr>
                    <w:t>O</w:t>
                  </w:r>
                </w:p>
              </w:tc>
            </w:tr>
            <w:tr>
              <w:tc>
                <w:tcPr>
                  <w:tcW w:type="dxa" w:w="1519"/>
                  <w:vAlign w:val="center"/>
                </w:tcPr>
                <w:p>
                  <w:pPr>
                    <w:spacing w:after="0" w:before="0" w:line="247" w:lineRule="auto"/>
                    <w:jc w:val="center"/>
                  </w:pPr>
                  <w:r>
                    <w:rPr>
                      <w:rFonts w:ascii="맑은 고딕" w:hAnsi="맑은 고딕" w:eastAsia="맑은 고딕"/>
                      <w:b w:val="0"/>
                      <w:sz w:val="13"/>
                    </w:rPr>
                    <w:t>공개SW</w:t>
                  </w:r>
                </w:p>
                <w:p>
                  <w:pPr>
                    <w:spacing w:after="0" w:before="0" w:line="247" w:lineRule="auto"/>
                    <w:jc w:val="center"/>
                  </w:pPr>
                  <w:r>
                    <w:rPr>
                      <w:rFonts w:ascii="맑은 고딕" w:hAnsi="맑은 고딕" w:eastAsia="맑은 고딕"/>
                      <w:b w:val="0"/>
                      <w:sz w:val="13"/>
                    </w:rPr>
                    <w:t>O</w:t>
                  </w:r>
                </w:p>
              </w:tc>
              <w:tc>
                <w:tcPr>
                  <w:tcW w:type="dxa" w:w="1519"/>
                  <w:vAlign w:val="center"/>
                </w:tcPr>
                <w:p>
                  <w:pPr>
                    <w:spacing w:after="0" w:before="0" w:line="247" w:lineRule="auto"/>
                    <w:jc w:val="center"/>
                  </w:pPr>
                  <w:r>
                    <w:rPr>
                      <w:rFonts w:ascii="맑은 고딕" w:hAnsi="맑은 고딕" w:eastAsia="맑은 고딕"/>
                      <w:b w:val="0"/>
                      <w:sz w:val="13"/>
                    </w:rPr>
                    <w:t>SW자산뱅크</w:t>
                  </w:r>
                </w:p>
                <w:p>
                  <w:pPr>
                    <w:spacing w:after="0" w:before="0" w:line="247" w:lineRule="auto"/>
                    <w:jc w:val="center"/>
                  </w:pPr>
                  <w:r>
                    <w:rPr>
                      <w:rFonts w:ascii="맑은 고딕" w:hAnsi="맑은 고딕" w:eastAsia="맑은 고딕"/>
                      <w:b w:val="0"/>
                      <w:sz w:val="13"/>
                    </w:rPr>
                  </w:r>
                </w:p>
              </w:tc>
              <w:tc>
                <w:tcPr>
                  <w:tcW w:type="dxa" w:w="1519"/>
                  <w:vAlign w:val="center"/>
                </w:tcPr>
                <w:p>
                  <w:pPr>
                    <w:spacing w:after="0" w:before="0" w:line="247" w:lineRule="auto"/>
                    <w:jc w:val="center"/>
                  </w:pPr>
                  <w:r>
                    <w:rPr>
                      <w:rFonts w:ascii="맑은 고딕" w:hAnsi="맑은 고딕" w:eastAsia="맑은 고딕"/>
                      <w:b w:val="0"/>
                      <w:sz w:val="13"/>
                    </w:rPr>
                    <w:t>연구데이터공개</w:t>
                  </w:r>
                </w:p>
                <w:p>
                  <w:pPr>
                    <w:spacing w:after="0" w:before="0" w:line="247" w:lineRule="auto"/>
                    <w:jc w:val="center"/>
                  </w:pPr>
                  <w:r>
                    <w:rPr>
                      <w:rFonts w:ascii="맑은 고딕" w:hAnsi="맑은 고딕" w:eastAsia="맑은 고딕"/>
                      <w:b w:val="0"/>
                      <w:sz w:val="13"/>
                    </w:rPr>
                    <w:t>O</w:t>
                  </w:r>
                </w:p>
              </w:tc>
              <w:tc>
                <w:tcPr>
                  <w:tcW w:type="dxa" w:w="1519"/>
                  <w:vAlign w:val="center"/>
                </w:tcPr>
                <w:p>
                  <w:pPr>
                    <w:spacing w:after="0" w:before="0" w:line="247" w:lineRule="auto"/>
                    <w:jc w:val="center"/>
                  </w:pPr>
                  <w:r>
                    <w:rPr>
                      <w:rFonts w:ascii="맑은 고딕" w:hAnsi="맑은 고딕" w:eastAsia="맑은 고딕"/>
                      <w:b w:val="0"/>
                      <w:sz w:val="13"/>
                    </w:rPr>
                    <w:t>일자리연계</w:t>
                  </w:r>
                </w:p>
                <w:p>
                  <w:pPr>
                    <w:spacing w:after="0" w:before="0" w:line="247" w:lineRule="auto"/>
                    <w:jc w:val="center"/>
                  </w:pPr>
                  <w:r>
                    <w:rPr>
                      <w:rFonts w:ascii="맑은 고딕" w:hAnsi="맑은 고딕" w:eastAsia="맑은 고딕"/>
                      <w:b w:val="0"/>
                      <w:sz w:val="13"/>
                    </w:rPr>
                  </w:r>
                </w:p>
              </w:tc>
              <w:tc>
                <w:tcPr>
                  <w:tcW w:type="dxa" w:w="1519"/>
                  <w:vAlign w:val="center"/>
                </w:tcPr>
                <w:p>
                  <w:pPr>
                    <w:spacing w:after="0" w:before="0" w:line="247" w:lineRule="auto"/>
                    <w:jc w:val="center"/>
                  </w:pPr>
                  <w:r>
                    <w:rPr>
                      <w:rFonts w:ascii="맑은 고딕" w:hAnsi="맑은 고딕" w:eastAsia="맑은 고딕"/>
                      <w:b w:val="0"/>
                      <w:sz w:val="13"/>
                    </w:rPr>
                    <w:t>규제샌드박스</w:t>
                  </w:r>
                </w:p>
                <w:p>
                  <w:pPr>
                    <w:spacing w:after="0" w:before="0" w:line="247" w:lineRule="auto"/>
                    <w:jc w:val="center"/>
                  </w:pPr>
                  <w:r>
                    <w:rPr>
                      <w:rFonts w:ascii="맑은 고딕" w:hAnsi="맑은 고딕" w:eastAsia="맑은 고딕"/>
                      <w:b w:val="0"/>
                      <w:sz w:val="13"/>
                    </w:rPr>
                  </w:r>
                </w:p>
              </w:tc>
            </w:tr>
            <w:tr>
              <w:tc>
                <w:tcPr>
                  <w:tcW w:type="dxa" w:w="1519"/>
                  <w:vAlign w:val="center"/>
                </w:tcPr>
                <w:p>
                  <w:pPr>
                    <w:spacing w:after="0" w:before="0" w:line="247" w:lineRule="auto"/>
                    <w:jc w:val="center"/>
                  </w:pPr>
                  <w:r>
                    <w:rPr>
                      <w:rFonts w:ascii="맑은 고딕" w:hAnsi="맑은 고딕" w:eastAsia="맑은 고딕"/>
                      <w:b w:val="0"/>
                      <w:sz w:val="13"/>
                    </w:rPr>
                    <w:t>정책지정</w:t>
                  </w:r>
                </w:p>
                <w:p>
                  <w:pPr>
                    <w:spacing w:after="0" w:before="0" w:line="247" w:lineRule="auto"/>
                    <w:jc w:val="center"/>
                  </w:pPr>
                  <w:r>
                    <w:rPr>
                      <w:rFonts w:ascii="맑은 고딕" w:hAnsi="맑은 고딕" w:eastAsia="맑은 고딕"/>
                      <w:b w:val="0"/>
                      <w:sz w:val="13"/>
                    </w:rPr>
                  </w:r>
                </w:p>
              </w:tc>
              <w:tc>
                <w:tcPr>
                  <w:tcW w:type="dxa" w:w="1519"/>
                  <w:vAlign w:val="center"/>
                </w:tcPr>
                <w:p>
                  <w:pPr>
                    <w:spacing w:after="0" w:before="0" w:line="247" w:lineRule="auto"/>
                    <w:jc w:val="center"/>
                  </w:pPr>
                  <w:r>
                    <w:rPr>
                      <w:rFonts w:ascii="맑은 고딕" w:hAnsi="맑은 고딕" w:eastAsia="맑은 고딕"/>
                      <w:b w:val="0"/>
                      <w:sz w:val="13"/>
                    </w:rPr>
                    <w:t>국제공동</w:t>
                  </w:r>
                </w:p>
                <w:p>
                  <w:pPr>
                    <w:spacing w:after="0" w:before="0" w:line="247" w:lineRule="auto"/>
                    <w:jc w:val="center"/>
                  </w:pPr>
                  <w:r>
                    <w:rPr>
                      <w:rFonts w:ascii="맑은 고딕" w:hAnsi="맑은 고딕" w:eastAsia="맑은 고딕"/>
                      <w:b w:val="0"/>
                      <w:sz w:val="13"/>
                    </w:rPr>
                  </w:r>
                </w:p>
              </w:tc>
              <w:tc>
                <w:tcPr>
                  <w:tcW w:type="dxa" w:w="1519"/>
                  <w:vAlign w:val="center"/>
                </w:tcPr>
                <w:p>
                  <w:pPr>
                    <w:spacing w:after="0" w:before="0" w:line="247" w:lineRule="auto"/>
                    <w:jc w:val="center"/>
                  </w:pPr>
                  <w:r>
                    <w:rPr>
                      <w:rFonts w:ascii="맑은 고딕" w:hAnsi="맑은 고딕" w:eastAsia="맑은 고딕"/>
                      <w:b w:val="0"/>
                      <w:sz w:val="13"/>
                    </w:rPr>
                    <w:t>사업화연계</w:t>
                  </w:r>
                </w:p>
                <w:p>
                  <w:pPr>
                    <w:spacing w:after="0" w:before="0" w:line="247" w:lineRule="auto"/>
                    <w:jc w:val="center"/>
                  </w:pPr>
                  <w:r>
                    <w:rPr>
                      <w:rFonts w:ascii="맑은 고딕" w:hAnsi="맑은 고딕" w:eastAsia="맑은 고딕"/>
                      <w:b w:val="0"/>
                      <w:sz w:val="13"/>
                    </w:rPr>
                    <w:t>O</w:t>
                  </w:r>
                </w:p>
              </w:tc>
              <w:tc>
                <w:tcPr>
                  <w:tcW w:type="dxa" w:w="1519"/>
                  <w:vAlign w:val="center"/>
                </w:tcPr>
                <w:p>
                  <w:pPr>
                    <w:spacing w:after="0" w:before="0" w:line="247" w:lineRule="auto"/>
                    <w:jc w:val="center"/>
                  </w:pPr>
                  <w:r>
                    <w:rPr>
                      <w:rFonts w:ascii="맑은 고딕" w:hAnsi="맑은 고딕" w:eastAsia="맑은 고딕"/>
                      <w:b w:val="0"/>
                      <w:sz w:val="13"/>
                    </w:rPr>
                    <w:t>소재부품장비</w:t>
                  </w:r>
                </w:p>
                <w:p>
                  <w:pPr>
                    <w:spacing w:after="0" w:before="0" w:line="247" w:lineRule="auto"/>
                    <w:jc w:val="center"/>
                  </w:pPr>
                  <w:r>
                    <w:rPr>
                      <w:rFonts w:ascii="맑은 고딕" w:hAnsi="맑은 고딕" w:eastAsia="맑은 고딕"/>
                      <w:b w:val="0"/>
                      <w:sz w:val="13"/>
                    </w:rPr>
                  </w:r>
                </w:p>
              </w:tc>
              <w:tc>
                <w:tcPr>
                  <w:tcW w:type="dxa" w:w="1519"/>
                  <w:vAlign w:val="center"/>
                </w:tcPr>
                <w:p>
                  <w:pPr>
                    <w:spacing w:after="0" w:before="0" w:line="247" w:lineRule="auto"/>
                    <w:jc w:val="center"/>
                  </w:pPr>
                  <w:r>
                    <w:rPr>
                      <w:rFonts w:ascii="맑은 고딕" w:hAnsi="맑은 고딕" w:eastAsia="맑은 고딕"/>
                      <w:b w:val="0"/>
                      <w:sz w:val="13"/>
                    </w:rPr>
                    <w:t>수요기업</w:t>
                  </w:r>
                </w:p>
                <w:p>
                  <w:pPr>
                    <w:spacing w:after="0" w:before="0" w:line="247" w:lineRule="auto"/>
                    <w:jc w:val="center"/>
                  </w:pPr>
                  <w:r>
                    <w:rPr>
                      <w:rFonts w:ascii="맑은 고딕" w:hAnsi="맑은 고딕" w:eastAsia="맑은 고딕"/>
                      <w:b w:val="0"/>
                      <w:sz w:val="13"/>
                    </w:rPr>
                  </w:r>
                </w:p>
              </w:tc>
            </w:tr>
          </w:tbl>
          <w:p/>
        </w:tc>
      </w:tr>
      <w:tr>
        <w:tc>
          <w:tcPr>
            <w:tcW w:type="dxa" w:w="2268"/>
            <w:vAlign w:val="center"/>
            <w:shd w:val="clear" w:fill="F2F2F2"/>
          </w:tcPr>
          <w:p>
            <w:pPr>
              <w:spacing w:after="0" w:before="0" w:line="247" w:lineRule="auto"/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연구개발</w:t>
            </w:r>
          </w:p>
          <w:p>
            <w:pPr>
              <w:spacing w:after="0" w:before="0" w:line="247" w:lineRule="auto"/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목표 및 내용</w:t>
            </w:r>
          </w:p>
        </w:tc>
        <w:tc>
          <w:tcPr>
            <w:tcW w:type="dxa" w:w="7597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3798"/>
              <w:gridCol w:w="3798"/>
            </w:tblGrid>
            <w:tr>
              <w:tc>
                <w:tcPr>
                  <w:tcW w:type="dxa" w:w="850"/>
                  <w:vAlign w:val="center"/>
                  <w:shd w:val="clear" w:fill="F2F2F2"/>
                </w:tcPr>
                <w:p>
                  <w:pPr>
                    <w:spacing w:after="0" w:before="0" w:line="247" w:lineRule="auto"/>
                    <w:jc w:val="center"/>
                  </w:pPr>
                  <w:r>
                    <w:rPr>
                      <w:rFonts w:ascii="맑은 고딕" w:hAnsi="맑은 고딕" w:eastAsia="맑은 고딕"/>
                      <w:b/>
                      <w:sz w:val="15"/>
                    </w:rPr>
                    <w:t>최종 목표</w:t>
                  </w:r>
                </w:p>
              </w:tc>
              <w:tc>
                <w:tcPr>
                  <w:tcW w:type="dxa" w:w="6746"/>
                  <w:vAlign w:val="center"/>
                </w:tcPr>
                <w:p>
                  <w:pPr>
                    <w:spacing w:after="0" w:before="0" w:line="247" w:lineRule="auto"/>
                  </w:pPr>
                  <w:r>
                    <w:rPr>
                      <w:rFonts w:ascii="맑은 고딕" w:hAnsi="맑은 고딕" w:eastAsia="맑은 고딕"/>
                      <w:b w:val="0"/>
                      <w:sz w:val="14"/>
                    </w:rPr>
                    <w:t>전자공시를 문서 단위가 아니라 관계 단위로 읽게 하는 서비스. ① 접수번호 근거를 붙여 답하는 질의응답 엔진(고정 스키마 GET /answer)과 ② 계약·정정·거래상대를 한 화면에서 대조하는 열람 서비스를 하나의 산출물로 제공</w:t>
                  </w:r>
                </w:p>
              </w:tc>
            </w:tr>
            <w:tr>
              <w:tc>
                <w:tcPr>
                  <w:tcW w:type="dxa" w:w="850"/>
                  <w:vAlign w:val="center"/>
                  <w:shd w:val="clear" w:fill="F2F2F2"/>
                </w:tcPr>
                <w:p>
                  <w:pPr>
                    <w:spacing w:after="0" w:before="0" w:line="247" w:lineRule="auto"/>
                    <w:jc w:val="center"/>
                  </w:pPr>
                  <w:r>
                    <w:rPr>
                      <w:rFonts w:ascii="맑은 고딕" w:hAnsi="맑은 고딕" w:eastAsia="맑은 고딕"/>
                      <w:b/>
                      <w:sz w:val="15"/>
                    </w:rPr>
                    <w:t>전체 내용</w:t>
                  </w:r>
                </w:p>
              </w:tc>
              <w:tc>
                <w:tcPr>
                  <w:tcW w:type="dxa" w:w="6746"/>
                  <w:vAlign w:val="center"/>
                </w:tcPr>
                <w:p>
                  <w:pPr>
                    <w:spacing w:after="0" w:before="0" w:line="247" w:lineRule="auto"/>
                  </w:pPr>
                  <w:r>
                    <w:rPr>
                      <w:rFonts w:ascii="맑은 고딕" w:hAnsi="맑은 고딕" w:eastAsia="맑은 고딕"/>
                      <w:b w:val="0"/>
                      <w:sz w:val="14"/>
                    </w:rPr>
                    <w:t>① 질의응답 엔진 — 라우팅·검색·도구·검증을 규칙으로 처리해 LLM 을 생성 구간에만 두고 질문당 호출 상한 6회 고정</w:t>
                  </w:r>
                </w:p>
                <w:p>
                  <w:pPr>
                    <w:spacing w:after="0" w:before="0" w:line="247" w:lineRule="auto"/>
                  </w:pPr>
                  <w:r>
                    <w:rPr>
                      <w:rFonts w:ascii="맑은 고딕" w:hAnsi="맑은 고딕" w:eastAsia="맑은 고딕"/>
                      <w:b w:val="0"/>
                      <w:sz w:val="14"/>
                    </w:rPr>
                    <w:t>② 관계 열람 웹서비스 — 기업 70곳·정정 631건·거래상대 145곳을 정적 사이트로 제공(런타임 LLM 0회). 값이 없으면 비우고 추적 실패 건도 사유와 함께 노출</w:t>
                  </w:r>
                </w:p>
              </w:tc>
            </w:tr>
            <w:tr>
              <w:tc>
                <w:tcPr>
                  <w:tcW w:type="dxa" w:w="850"/>
                  <w:vAlign w:val="center"/>
                  <w:shd w:val="clear" w:fill="F2F2F2"/>
                </w:tcPr>
                <w:p>
                  <w:pPr>
                    <w:spacing w:after="0" w:before="0" w:line="247" w:lineRule="auto"/>
                    <w:jc w:val="center"/>
                  </w:pPr>
                  <w:r>
                    <w:rPr>
                      <w:rFonts w:ascii="맑은 고딕" w:hAnsi="맑은 고딕" w:eastAsia="맑은 고딕"/>
                      <w:b/>
                      <w:sz w:val="15"/>
                    </w:rPr>
                    <w:t>1단계</w:t>
                  </w:r>
                </w:p>
                <w:p>
                  <w:pPr>
                    <w:spacing w:after="0" w:before="0" w:line="247" w:lineRule="auto"/>
                    <w:jc w:val="center"/>
                  </w:pPr>
                  <w:r>
                    <w:rPr>
                      <w:rFonts w:ascii="맑은 고딕" w:hAnsi="맑은 고딕" w:eastAsia="맑은 고딕"/>
                      <w:b/>
                      <w:sz w:val="15"/>
                    </w:rPr>
                    <w:t>목표</w:t>
                  </w:r>
                </w:p>
              </w:tc>
              <w:tc>
                <w:tcPr>
                  <w:tcW w:type="dxa" w:w="6746"/>
                  <w:vAlign w:val="center"/>
                </w:tcPr>
                <w:p>
                  <w:pPr>
                    <w:spacing w:after="0" w:before="0" w:line="247" w:lineRule="auto"/>
                  </w:pPr>
                  <w:r>
                    <w:rPr>
                      <w:rFonts w:ascii="맑은 고딕" w:hAnsi="맑은 고딕" w:eastAsia="맑은 고딕"/>
                      <w:b w:val="0"/>
                      <w:sz w:val="14"/>
                    </w:rPr>
                    <w:t>엔진 베이스라인 확정 — 무엇이 성능을 벌었는지 구성요소별로 분리 측정하고 최종 구성을 선택</w:t>
                  </w:r>
                </w:p>
              </w:tc>
            </w:tr>
            <w:tr>
              <w:tc>
                <w:tcPr>
                  <w:tcW w:type="dxa" w:w="850"/>
                  <w:vAlign w:val="center"/>
                  <w:shd w:val="clear" w:fill="F2F2F2"/>
                </w:tcPr>
                <w:p>
                  <w:pPr>
                    <w:spacing w:after="0" w:before="0" w:line="247" w:lineRule="auto"/>
                    <w:jc w:val="center"/>
                  </w:pPr>
                  <w:r>
                    <w:rPr>
                      <w:rFonts w:ascii="맑은 고딕" w:hAnsi="맑은 고딕" w:eastAsia="맑은 고딕"/>
                      <w:b/>
                      <w:sz w:val="15"/>
                    </w:rPr>
                    <w:t>1단계</w:t>
                  </w:r>
                </w:p>
                <w:p>
                  <w:pPr>
                    <w:spacing w:after="0" w:before="0" w:line="247" w:lineRule="auto"/>
                    <w:jc w:val="center"/>
                  </w:pPr>
                  <w:r>
                    <w:rPr>
                      <w:rFonts w:ascii="맑은 고딕" w:hAnsi="맑은 고딕" w:eastAsia="맑은 고딕"/>
                      <w:b/>
                      <w:sz w:val="15"/>
                    </w:rPr>
                    <w:t>내용</w:t>
                  </w:r>
                </w:p>
              </w:tc>
              <w:tc>
                <w:tcPr>
                  <w:tcW w:type="dxa" w:w="6746"/>
                  <w:vAlign w:val="center"/>
                </w:tcPr>
                <w:p>
                  <w:pPr>
                    <w:spacing w:after="0" w:before="0" w:line="247" w:lineRule="auto"/>
                  </w:pPr>
                  <w:r>
                    <w:rPr>
                      <w:rFonts w:ascii="맑은 고딕" w:hAnsi="맑은 고딕" w:eastAsia="맑은 고딕"/>
                      <w:b w:val="0"/>
                      <w:sz w:val="14"/>
                    </w:rPr>
                    <w:t>· 코퍼스 프로파일링으로 설계 전제 검증(기업 간 엣지 밀도 12.4% → 그래프 기반 검색 기각)</w:t>
                  </w:r>
                </w:p>
                <w:p>
                  <w:pPr>
                    <w:spacing w:after="0" w:before="0" w:line="247" w:lineRule="auto"/>
                  </w:pPr>
                  <w:r>
                    <w:rPr>
                      <w:rFonts w:ascii="맑은 고딕" w:hAnsi="맑은 고딕" w:eastAsia="맑은 고딕"/>
                      <w:b w:val="0"/>
                      <w:sz w:val="14"/>
                    </w:rPr>
                    <w:t>· 3축 그리드 골든셋 구축 → 켜 올리는 사다리와 빼는 LOO 측정. 평가지표: 정답률(그리드 72) · 골든 근거 회수 · 환각 · 질의당 비용·지연</w:t>
                  </w:r>
                </w:p>
              </w:tc>
            </w:tr>
            <w:tr>
              <w:tc>
                <w:tcPr>
                  <w:tcW w:type="dxa" w:w="850"/>
                  <w:vAlign w:val="center"/>
                  <w:shd w:val="clear" w:fill="F2F2F2"/>
                </w:tcPr>
                <w:p>
                  <w:pPr>
                    <w:spacing w:after="0" w:before="0" w:line="247" w:lineRule="auto"/>
                    <w:jc w:val="center"/>
                  </w:pPr>
                  <w:r>
                    <w:rPr>
                      <w:rFonts w:ascii="맑은 고딕" w:hAnsi="맑은 고딕" w:eastAsia="맑은 고딕"/>
                      <w:b/>
                      <w:sz w:val="15"/>
                    </w:rPr>
                    <w:t>2단계</w:t>
                  </w:r>
                </w:p>
                <w:p>
                  <w:pPr>
                    <w:spacing w:after="0" w:before="0" w:line="247" w:lineRule="auto"/>
                    <w:jc w:val="center"/>
                  </w:pPr>
                  <w:r>
                    <w:rPr>
                      <w:rFonts w:ascii="맑은 고딕" w:hAnsi="맑은 고딕" w:eastAsia="맑은 고딕"/>
                      <w:b/>
                      <w:sz w:val="15"/>
                    </w:rPr>
                    <w:t>목표</w:t>
                  </w:r>
                </w:p>
              </w:tc>
              <w:tc>
                <w:tcPr>
                  <w:tcW w:type="dxa" w:w="6746"/>
                  <w:vAlign w:val="center"/>
                </w:tcPr>
                <w:p>
                  <w:pPr>
                    <w:spacing w:after="0" w:before="0" w:line="247" w:lineRule="auto"/>
                  </w:pPr>
                  <w:r>
                    <w:rPr>
                      <w:rFonts w:ascii="맑은 고딕" w:hAnsi="맑은 고딕" w:eastAsia="맑은 고딕"/>
                      <w:b w:val="0"/>
                      <w:sz w:val="14"/>
                    </w:rPr>
                    <w:t>엔진 위에 열람 서비스를 올려 완성하고 공인 IP 엔드포인트로 배포</w:t>
                  </w:r>
                </w:p>
              </w:tc>
            </w:tr>
            <w:tr>
              <w:tc>
                <w:tcPr>
                  <w:tcW w:type="dxa" w:w="850"/>
                  <w:vAlign w:val="center"/>
                  <w:shd w:val="clear" w:fill="F2F2F2"/>
                </w:tcPr>
                <w:p>
                  <w:pPr>
                    <w:spacing w:after="0" w:before="0" w:line="247" w:lineRule="auto"/>
                    <w:jc w:val="center"/>
                  </w:pPr>
                  <w:r>
                    <w:rPr>
                      <w:rFonts w:ascii="맑은 고딕" w:hAnsi="맑은 고딕" w:eastAsia="맑은 고딕"/>
                      <w:b/>
                      <w:sz w:val="15"/>
                    </w:rPr>
                    <w:t>2단계</w:t>
                  </w:r>
                </w:p>
                <w:p>
                  <w:pPr>
                    <w:spacing w:after="0" w:before="0" w:line="247" w:lineRule="auto"/>
                    <w:jc w:val="center"/>
                  </w:pPr>
                  <w:r>
                    <w:rPr>
                      <w:rFonts w:ascii="맑은 고딕" w:hAnsi="맑은 고딕" w:eastAsia="맑은 고딕"/>
                      <w:b/>
                      <w:sz w:val="15"/>
                    </w:rPr>
                    <w:t>내용</w:t>
                  </w:r>
                </w:p>
              </w:tc>
              <w:tc>
                <w:tcPr>
                  <w:tcW w:type="dxa" w:w="6746"/>
                  <w:vAlign w:val="center"/>
                </w:tcPr>
                <w:p>
                  <w:pPr>
                    <w:spacing w:after="0" w:before="0" w:line="247" w:lineRule="auto"/>
                  </w:pPr>
                  <w:r>
                    <w:rPr>
                      <w:rFonts w:ascii="맑은 고딕" w:hAnsi="맑은 고딕" w:eastAsia="맑은 고딕"/>
                      <w:b w:val="0"/>
                      <w:sz w:val="14"/>
                    </w:rPr>
                    <w:t>· 정정 체인·거래상대 2-hop 을 화면으로 노출하고 화면마다 한계를 명시, 정적 export 로 서버·DB 없이 배포</w:t>
                  </w:r>
                </w:p>
                <w:p>
                  <w:pPr>
                    <w:spacing w:after="0" w:before="0" w:line="247" w:lineRule="auto"/>
                  </w:pPr>
                  <w:r>
                    <w:rPr>
                      <w:rFonts w:ascii="맑은 고딕" w:hAnsi="맑은 고딕" w:eastAsia="맑은 고딕"/>
                      <w:b w:val="0"/>
                      <w:sz w:val="14"/>
                    </w:rPr>
                    <w:t>· 평가지표: 화면별 데이터 완전성 · 추적 실패 노출률 · 응답 지연 · 5키 스키마 준수</w:t>
                  </w:r>
                </w:p>
              </w:tc>
            </w:tr>
          </w:tbl>
          <w:p/>
        </w:tc>
      </w:tr>
      <w:tr>
        <w:tc>
          <w:tcPr>
            <w:tcW w:type="dxa" w:w="2268"/>
            <w:vAlign w:val="center"/>
            <w:shd w:val="clear" w:fill="F2F2F2"/>
          </w:tcPr>
          <w:p>
            <w:pPr>
              <w:spacing w:after="0" w:before="0" w:line="247" w:lineRule="auto"/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연구개발성과</w:t>
            </w:r>
          </w:p>
          <w:p>
            <w:pPr>
              <w:spacing w:after="0" w:before="0" w:line="247" w:lineRule="auto"/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활용계획 및</w:t>
            </w:r>
          </w:p>
          <w:p>
            <w:pPr>
              <w:spacing w:after="0" w:before="0" w:line="247" w:lineRule="auto"/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기대 효과</w:t>
            </w:r>
          </w:p>
        </w:tc>
        <w:tc>
          <w:tcPr>
            <w:tcW w:type="dxa" w:w="7597"/>
            <w:vAlign w:val="center"/>
          </w:tcPr>
          <w:p>
            <w:pPr>
              <w:spacing w:after="0" w:before="0" w:line="247" w:lineRule="auto"/>
            </w:pPr>
            <w:r>
              <w:rPr>
                <w:rFonts w:ascii="맑은 고딕" w:hAnsi="맑은 고딕" w:eastAsia="맑은 고딕"/>
                <w:b w:val="0"/>
                <w:sz w:val="14"/>
              </w:rPr>
              <w:t>전자공시 열람은 여전히 문서 단위다. 본 성과는 계약·정정·거래상대를 관계로 이어 한 화면에서 대조하게 하여 확인 시간을 줄인다. 정정의 42.9%가 원공시 대조를 요구하는 현실에서, 추적 실패 건까지 사유와 함께 드러내는 설계는 '없어서 안 보이는 것'과 '있는데 못 찾은 것'을 구분해 준다. 엔진은 고정 스키마 API 라 리서치·감사·IR 시스템에 그대로 결합 가능하다.</w:t>
            </w:r>
          </w:p>
        </w:tc>
      </w:tr>
      <w:tr>
        <w:tc>
          <w:tcPr>
            <w:tcW w:type="dxa" w:w="2268"/>
            <w:vAlign w:val="center"/>
            <w:shd w:val="clear" w:fill="F2F2F2"/>
          </w:tcPr>
          <w:p>
            <w:pPr>
              <w:spacing w:after="0" w:before="0" w:line="247" w:lineRule="auto"/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국문핵심어</w:t>
            </w:r>
          </w:p>
          <w:p>
            <w:pPr>
              <w:spacing w:after="0" w:before="0" w:line="247" w:lineRule="auto"/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(5개 이내)</w:t>
            </w:r>
          </w:p>
        </w:tc>
        <w:tc>
          <w:tcPr>
            <w:tcW w:type="dxa" w:w="7597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519"/>
              <w:gridCol w:w="1519"/>
              <w:gridCol w:w="1519"/>
              <w:gridCol w:w="1519"/>
              <w:gridCol w:w="1519"/>
            </w:tblGrid>
            <w:tr>
              <w:tc>
                <w:tcPr>
                  <w:tcW w:type="dxa" w:w="1519"/>
                  <w:vAlign w:val="center"/>
                </w:tcPr>
                <w:p>
                  <w:pPr>
                    <w:spacing w:after="0" w:before="0" w:line="247" w:lineRule="auto"/>
                    <w:jc w:val="center"/>
                  </w:pPr>
                  <w:r>
                    <w:rPr>
                      <w:rFonts w:ascii="맑은 고딕" w:hAnsi="맑은 고딕" w:eastAsia="맑은 고딕"/>
                      <w:b w:val="0"/>
                      <w:sz w:val="14"/>
                    </w:rPr>
                    <w:t>전자공시</w:t>
                  </w:r>
                </w:p>
              </w:tc>
              <w:tc>
                <w:tcPr>
                  <w:tcW w:type="dxa" w:w="1519"/>
                  <w:vAlign w:val="center"/>
                </w:tcPr>
                <w:p>
                  <w:pPr>
                    <w:spacing w:after="0" w:before="0" w:line="247" w:lineRule="auto"/>
                    <w:jc w:val="center"/>
                  </w:pPr>
                  <w:r>
                    <w:rPr>
                      <w:rFonts w:ascii="맑은 고딕" w:hAnsi="맑은 고딕" w:eastAsia="맑은 고딕"/>
                      <w:b w:val="0"/>
                      <w:sz w:val="14"/>
                    </w:rPr>
                    <w:t>근거 추적</w:t>
                  </w:r>
                </w:p>
              </w:tc>
              <w:tc>
                <w:tcPr>
                  <w:tcW w:type="dxa" w:w="1519"/>
                  <w:vAlign w:val="center"/>
                </w:tcPr>
                <w:p>
                  <w:pPr>
                    <w:spacing w:after="0" w:before="0" w:line="247" w:lineRule="auto"/>
                    <w:jc w:val="center"/>
                  </w:pPr>
                  <w:r>
                    <w:rPr>
                      <w:rFonts w:ascii="맑은 고딕" w:hAnsi="맑은 고딕" w:eastAsia="맑은 고딕"/>
                      <w:b w:val="0"/>
                      <w:sz w:val="14"/>
                    </w:rPr>
                    <w:t>정정 체인</w:t>
                  </w:r>
                </w:p>
              </w:tc>
              <w:tc>
                <w:tcPr>
                  <w:tcW w:type="dxa" w:w="1519"/>
                  <w:vAlign w:val="center"/>
                </w:tcPr>
                <w:p>
                  <w:pPr>
                    <w:spacing w:after="0" w:before="0" w:line="247" w:lineRule="auto"/>
                    <w:jc w:val="center"/>
                  </w:pPr>
                  <w:r>
                    <w:rPr>
                      <w:rFonts w:ascii="맑은 고딕" w:hAnsi="맑은 고딕" w:eastAsia="맑은 고딕"/>
                      <w:b w:val="0"/>
                      <w:sz w:val="14"/>
                    </w:rPr>
                    <w:t>거래관계망</w:t>
                  </w:r>
                </w:p>
              </w:tc>
              <w:tc>
                <w:tcPr>
                  <w:tcW w:type="dxa" w:w="1519"/>
                  <w:vAlign w:val="center"/>
                </w:tcPr>
                <w:p>
                  <w:pPr>
                    <w:spacing w:after="0" w:before="0" w:line="247" w:lineRule="auto"/>
                    <w:jc w:val="center"/>
                  </w:pPr>
                  <w:r>
                    <w:rPr>
                      <w:rFonts w:ascii="맑은 고딕" w:hAnsi="맑은 고딕" w:eastAsia="맑은 고딕"/>
                      <w:b w:val="0"/>
                      <w:sz w:val="14"/>
                    </w:rPr>
                    <w:t>검색증강생성</w:t>
                  </w:r>
                </w:p>
              </w:tc>
            </w:tr>
          </w:tbl>
          <w:p/>
        </w:tc>
      </w:tr>
      <w:tr>
        <w:tc>
          <w:tcPr>
            <w:tcW w:type="dxa" w:w="2268"/>
            <w:vAlign w:val="center"/>
            <w:shd w:val="clear" w:fill="F2F2F2"/>
          </w:tcPr>
          <w:p>
            <w:pPr>
              <w:spacing w:after="0" w:before="0" w:line="247" w:lineRule="auto"/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영문핵심어</w:t>
            </w:r>
          </w:p>
          <w:p>
            <w:pPr>
              <w:spacing w:after="0" w:before="0" w:line="247" w:lineRule="auto"/>
              <w:jc w:val="center"/>
            </w:pPr>
            <w:r>
              <w:rPr>
                <w:rFonts w:ascii="맑은 고딕" w:hAnsi="맑은 고딕" w:eastAsia="맑은 고딕"/>
                <w:b/>
                <w:sz w:val="16"/>
              </w:rPr>
              <w:t>(5개 이내)</w:t>
            </w:r>
          </w:p>
        </w:tc>
        <w:tc>
          <w:tcPr>
            <w:tcW w:type="dxa" w:w="7597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519"/>
              <w:gridCol w:w="1519"/>
              <w:gridCol w:w="1519"/>
              <w:gridCol w:w="1519"/>
              <w:gridCol w:w="1519"/>
            </w:tblGrid>
            <w:tr>
              <w:tc>
                <w:tcPr>
                  <w:tcW w:type="dxa" w:w="1519"/>
                  <w:vAlign w:val="center"/>
                </w:tcPr>
                <w:p>
                  <w:pPr>
                    <w:spacing w:after="0" w:before="0" w:line="247" w:lineRule="auto"/>
                    <w:jc w:val="center"/>
                  </w:pPr>
                  <w:r>
                    <w:rPr>
                      <w:rFonts w:ascii="맑은 고딕" w:hAnsi="맑은 고딕" w:eastAsia="맑은 고딕"/>
                      <w:b w:val="0"/>
                      <w:sz w:val="14"/>
                    </w:rPr>
                    <w:t>Corporate disclosure</w:t>
                  </w:r>
                </w:p>
              </w:tc>
              <w:tc>
                <w:tcPr>
                  <w:tcW w:type="dxa" w:w="1519"/>
                  <w:vAlign w:val="center"/>
                </w:tcPr>
                <w:p>
                  <w:pPr>
                    <w:spacing w:after="0" w:before="0" w:line="247" w:lineRule="auto"/>
                    <w:jc w:val="center"/>
                  </w:pPr>
                  <w:r>
                    <w:rPr>
                      <w:rFonts w:ascii="맑은 고딕" w:hAnsi="맑은 고딕" w:eastAsia="맑은 고딕"/>
                      <w:b w:val="0"/>
                      <w:sz w:val="14"/>
                    </w:rPr>
                    <w:t>Evidence tracing</w:t>
                  </w:r>
                </w:p>
              </w:tc>
              <w:tc>
                <w:tcPr>
                  <w:tcW w:type="dxa" w:w="1519"/>
                  <w:vAlign w:val="center"/>
                </w:tcPr>
                <w:p>
                  <w:pPr>
                    <w:spacing w:after="0" w:before="0" w:line="247" w:lineRule="auto"/>
                    <w:jc w:val="center"/>
                  </w:pPr>
                  <w:r>
                    <w:rPr>
                      <w:rFonts w:ascii="맑은 고딕" w:hAnsi="맑은 고딕" w:eastAsia="맑은 고딕"/>
                      <w:b w:val="0"/>
                      <w:sz w:val="14"/>
                    </w:rPr>
                    <w:t>Amendment chain</w:t>
                  </w:r>
                </w:p>
              </w:tc>
              <w:tc>
                <w:tcPr>
                  <w:tcW w:type="dxa" w:w="1519"/>
                  <w:vAlign w:val="center"/>
                </w:tcPr>
                <w:p>
                  <w:pPr>
                    <w:spacing w:after="0" w:before="0" w:line="247" w:lineRule="auto"/>
                    <w:jc w:val="center"/>
                  </w:pPr>
                  <w:r>
                    <w:rPr>
                      <w:rFonts w:ascii="맑은 고딕" w:hAnsi="맑은 고딕" w:eastAsia="맑은 고딕"/>
                      <w:b w:val="0"/>
                      <w:sz w:val="14"/>
                    </w:rPr>
                    <w:t>Counterparty network</w:t>
                  </w:r>
                </w:p>
              </w:tc>
              <w:tc>
                <w:tcPr>
                  <w:tcW w:type="dxa" w:w="1519"/>
                  <w:vAlign w:val="center"/>
                </w:tcPr>
                <w:p>
                  <w:pPr>
                    <w:spacing w:after="0" w:before="0" w:line="247" w:lineRule="auto"/>
                    <w:jc w:val="center"/>
                  </w:pPr>
                  <w:r>
                    <w:rPr>
                      <w:rFonts w:ascii="맑은 고딕" w:hAnsi="맑은 고딕" w:eastAsia="맑은 고딕"/>
                      <w:b w:val="0"/>
                      <w:sz w:val="14"/>
                    </w:rPr>
                    <w:t>Retrieval-augmented generation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spacing w:after="200" w:before="0" w:line="252" w:lineRule="auto"/>
        <w:jc w:val="center"/>
      </w:pPr>
      <w:r>
        <w:rPr>
          <w:rFonts w:ascii="맑은 고딕" w:hAnsi="맑은 고딕" w:eastAsia="맑은 고딕"/>
          <w:b/>
          <w:sz w:val="24"/>
        </w:rPr>
        <w:t>&lt; 본문 1 &gt;</w:t>
      </w:r>
    </w:p>
    <w:p>
      <w:pPr>
        <w:spacing w:after="200" w:before="0" w:line="252" w:lineRule="auto"/>
        <w:jc w:val="center"/>
      </w:pPr>
      <w:r>
        <w:rPr>
          <w:rFonts w:ascii="맑은 고딕" w:hAnsi="맑은 고딕" w:eastAsia="맑은 고딕"/>
          <w:b/>
          <w:sz w:val="26"/>
        </w:rPr>
        <w:t>목  차</w:t>
      </w:r>
    </w:p>
    <w:p>
      <w:pPr>
        <w:spacing w:after="140"/>
        <w:ind w:left="907"/>
      </w:pPr>
      <w:r>
        <w:rPr>
          <w:rFonts w:ascii="맑은 고딕" w:hAnsi="맑은 고딕" w:eastAsia="맑은 고딕"/>
          <w:b/>
          <w:sz w:val="22"/>
        </w:rPr>
        <w:t>1. 연구개발과제의 필요성</w:t>
      </w:r>
    </w:p>
    <w:p>
      <w:pPr>
        <w:spacing w:after="140"/>
        <w:ind w:left="907"/>
      </w:pPr>
      <w:r>
        <w:rPr>
          <w:rFonts w:ascii="맑은 고딕" w:hAnsi="맑은 고딕" w:eastAsia="맑은 고딕"/>
          <w:b/>
          <w:sz w:val="22"/>
        </w:rPr>
        <w:t>2. 연구개발과제의 목표 및 내용</w:t>
      </w:r>
    </w:p>
    <w:p>
      <w:pPr>
        <w:spacing w:after="140"/>
        <w:ind w:left="1247"/>
      </w:pPr>
      <w:r>
        <w:rPr>
          <w:rFonts w:ascii="맑은 고딕" w:hAnsi="맑은 고딕" w:eastAsia="맑은 고딕"/>
          <w:b w:val="0"/>
          <w:sz w:val="22"/>
        </w:rPr>
        <w:t>2-1. 연구개발과제의 사업성 및 기술성</w:t>
      </w:r>
    </w:p>
    <w:p>
      <w:pPr>
        <w:spacing w:after="140"/>
        <w:ind w:left="1247"/>
      </w:pPr>
      <w:r>
        <w:rPr>
          <w:rFonts w:ascii="맑은 고딕" w:hAnsi="맑은 고딕" w:eastAsia="맑은 고딕"/>
          <w:b w:val="0"/>
          <w:sz w:val="22"/>
        </w:rPr>
        <w:t>2-2. 연구개발과제의 최종 목표, 내용 및 결과물</w:t>
      </w:r>
    </w:p>
    <w:p>
      <w:pPr>
        <w:spacing w:after="140"/>
        <w:ind w:left="1247"/>
      </w:pPr>
      <w:r>
        <w:rPr>
          <w:rFonts w:ascii="맑은 고딕" w:hAnsi="맑은 고딕" w:eastAsia="맑은 고딕"/>
          <w:b w:val="0"/>
          <w:sz w:val="22"/>
        </w:rPr>
        <w:t>2-3. 연구개발과제의 단계별 목표, 내용 및 결과물</w:t>
      </w:r>
    </w:p>
    <w:p>
      <w:pPr>
        <w:spacing w:after="140"/>
        <w:ind w:left="907"/>
      </w:pPr>
      <w:r>
        <w:rPr>
          <w:rFonts w:ascii="맑은 고딕" w:hAnsi="맑은 고딕" w:eastAsia="맑은 고딕"/>
          <w:b/>
          <w:sz w:val="22"/>
        </w:rPr>
        <w:t>3. 연구개발과제의 추진전략·방법 및 추진체계</w:t>
      </w:r>
    </w:p>
    <w:p>
      <w:pPr>
        <w:spacing w:after="140"/>
        <w:ind w:left="907"/>
      </w:pPr>
      <w:r>
        <w:rPr>
          <w:rFonts w:ascii="맑은 고딕" w:hAnsi="맑은 고딕" w:eastAsia="맑은 고딕"/>
          <w:b/>
          <w:sz w:val="22"/>
        </w:rPr>
        <w:t>4. 연구개발과제의 활용방안 및 사업성</w:t>
      </w:r>
    </w:p>
    <w:p>
      <w:pPr>
        <w:spacing w:after="140"/>
        <w:ind w:left="907"/>
      </w:pPr>
      <w:r>
        <w:rPr>
          <w:rFonts w:ascii="맑은 고딕" w:hAnsi="맑은 고딕" w:eastAsia="맑은 고딕"/>
          <w:b/>
          <w:sz w:val="22"/>
        </w:rPr>
        <w:t>5. 연구자의 연구수행 역량</w:t>
      </w:r>
    </w:p>
    <w:p>
      <w:pPr>
        <w:spacing w:after="140"/>
        <w:ind w:left="907"/>
      </w:pPr>
      <w:r>
        <w:rPr>
          <w:rFonts w:ascii="맑은 고딕" w:hAnsi="맑은 고딕" w:eastAsia="맑은 고딕"/>
          <w:b/>
          <w:sz w:val="22"/>
        </w:rPr>
        <w:t>6. 기타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9"/>
        <w:gridCol w:w="9326"/>
      </w:tblGrid>
      <w:tr>
        <w:tc>
          <w:tcPr>
            <w:tcW w:type="dxa" w:w="539"/>
            <w:vAlign w:val="center"/>
            <w:shd w:val="clear" w:fill="1F3864"/>
          </w:tcPr>
          <w:p>
            <w:pPr>
              <w:spacing w:after="0" w:before="0" w:line="24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6"/>
              </w:rPr>
              <w:t>1</w:t>
            </w:r>
          </w:p>
        </w:tc>
        <w:tc>
          <w:tcPr>
            <w:tcW w:type="dxa" w:w="9326"/>
            <w:vAlign w:val="center"/>
            <w:shd w:val="clear" w:fill="D9E2F3"/>
          </w:tcPr>
          <w:p>
            <w:pPr>
              <w:spacing w:after="0" w:before="0" w:line="247" w:lineRule="auto"/>
            </w:pPr>
            <w:r>
              <w:rPr>
                <w:rFonts w:ascii="맑은 고딕" w:hAnsi="맑은 고딕" w:eastAsia="맑은 고딕"/>
                <w:b/>
                <w:sz w:val="21"/>
              </w:rPr>
              <w:t>연구개발과제의 필요성</w:t>
            </w:r>
          </w:p>
        </w:tc>
      </w:tr>
    </w:tbl>
    <w:p>
      <w:pPr>
        <w:spacing w:after="20" w:before="0" w:line="252" w:lineRule="auto"/>
      </w:pPr>
    </w:p>
    <w:p>
      <w:pPr>
        <w:spacing w:after="20" w:before="60" w:line="252" w:lineRule="auto"/>
      </w:pPr>
      <w:r>
        <w:rPr>
          <w:rFonts w:ascii="맑은 고딕" w:hAnsi="맑은 고딕" w:eastAsia="맑은 고딕"/>
          <w:b/>
          <w:sz w:val="18"/>
        </w:rPr>
        <w:t>■ 공시는 한 건씩 읽게 되어 있고, 그래서 관계가 보이지 않는다</w:t>
      </w:r>
    </w:p>
    <w:p>
      <w:pPr>
        <w:spacing w:after="20" w:line="252" w:lineRule="auto"/>
      </w:pPr>
      <w:r>
        <w:rPr>
          <w:rFonts w:ascii="맑은 고딕" w:hAnsi="맑은 고딕" w:eastAsia="맑은 고딕"/>
          <w:b w:val="0"/>
          <w:sz w:val="17"/>
        </w:rPr>
        <w:t xml:space="preserve">전자공시 열람 시스템은 </w:t>
      </w:r>
      <w:r>
        <w:rPr>
          <w:rFonts w:ascii="맑은 고딕" w:hAnsi="맑은 고딕" w:eastAsia="맑은 고딕"/>
          <w:b/>
          <w:sz w:val="17"/>
        </w:rPr>
        <w:t>문서 단위 검색</w:t>
      </w:r>
      <w:r>
        <w:rPr>
          <w:rFonts w:ascii="맑은 고딕" w:hAnsi="맑은 고딕" w:eastAsia="맑은 고딕"/>
          <w:b w:val="0"/>
          <w:sz w:val="17"/>
        </w:rPr>
        <w:t>이다. 한 회사가 최근 무엇을 했는지 알려면 공시를 수십 건 열어 사람이 이어 붙여야 하고, 그 과정에서 세 가지가 특히 비싸다.</w:t>
      </w:r>
    </w:p>
    <w:p>
      <w:pPr>
        <w:spacing w:after="20" w:line="252" w:lineRule="auto"/>
      </w:pPr>
      <w:r>
        <w:rPr>
          <w:rFonts w:ascii="맑은 고딕" w:hAnsi="맑은 고딕" w:eastAsia="맑은 고딕"/>
          <w:b/>
          <w:sz w:val="17"/>
        </w:rPr>
        <w:t xml:space="preserve">[정정이 예외가 아니라 일상이다] </w:t>
      </w:r>
      <w:r>
        <w:rPr>
          <w:rFonts w:ascii="맑은 고딕" w:hAnsi="맑은 고딕" w:eastAsia="맑은 고딕"/>
          <w:b w:val="0"/>
          <w:sz w:val="17"/>
        </w:rPr>
        <w:t xml:space="preserve">본 과제 코퍼스(상장사 70곳 · 2023.01~2026.03)의 거래소공시 1,469건 중 정정이 </w:t>
      </w:r>
      <w:r>
        <w:rPr>
          <w:rFonts w:ascii="맑은 고딕" w:hAnsi="맑은 고딕" w:eastAsia="맑은 고딕"/>
          <w:b/>
          <w:sz w:val="17"/>
        </w:rPr>
        <w:t>631건(42.9%)</w:t>
      </w:r>
      <w:r>
        <w:rPr>
          <w:rFonts w:ascii="맑은 고딕" w:hAnsi="맑은 고딕" w:eastAsia="맑은 고딕"/>
          <w:b w:val="0"/>
          <w:sz w:val="17"/>
        </w:rPr>
        <w:t>이다. 금액이 늘기도 줄기도 하므로 최신본만 봐서도, 원공시만 봐서도 틀린다.</w:t>
      </w:r>
    </w:p>
    <w:p>
      <w:pPr>
        <w:spacing w:after="20" w:line="252" w:lineRule="auto"/>
      </w:pPr>
      <w:r>
        <w:rPr>
          <w:rFonts w:ascii="맑은 고딕" w:hAnsi="맑은 고딕" w:eastAsia="맑은 고딕"/>
          <w:b/>
          <w:sz w:val="17"/>
        </w:rPr>
        <w:t xml:space="preserve">[바뀐 것을 못 찾는 경우가 그중 절반이다] </w:t>
      </w:r>
      <w:r>
        <w:rPr>
          <w:rFonts w:ascii="맑은 고딕" w:hAnsi="맑은 고딕" w:eastAsia="맑은 고딕"/>
          <w:b w:val="0"/>
          <w:sz w:val="17"/>
        </w:rPr>
        <w:t xml:space="preserve">정정 631건 중 </w:t>
      </w:r>
      <w:r>
        <w:rPr>
          <w:rFonts w:ascii="맑은 고딕" w:hAnsi="맑은 고딕" w:eastAsia="맑은 고딕"/>
          <w:b/>
          <w:sz w:val="17"/>
        </w:rPr>
        <w:t>309건</w:t>
      </w:r>
      <w:r>
        <w:rPr>
          <w:rFonts w:ascii="맑은 고딕" w:hAnsi="맑은 고딕" w:eastAsia="맑은 고딕"/>
          <w:b w:val="0"/>
          <w:sz w:val="17"/>
        </w:rPr>
        <w:t xml:space="preserve">은 원공시가 코퍼스 밖이라 추적되지 않는다. 문제는 실패 자체가 아니라 </w:t>
      </w:r>
      <w:r>
        <w:rPr>
          <w:rFonts w:ascii="맑은 고딕" w:hAnsi="맑은 고딕" w:eastAsia="맑은 고딕"/>
          <w:b/>
          <w:sz w:val="17"/>
        </w:rPr>
        <w:t>실패가 보이지 않는다는 것</w:t>
      </w:r>
      <w:r>
        <w:rPr>
          <w:rFonts w:ascii="맑은 고딕" w:hAnsi="맑은 고딕" w:eastAsia="맑은 고딕"/>
          <w:b w:val="0"/>
          <w:sz w:val="17"/>
        </w:rPr>
        <w:t>이다. 목록에서 빠지면 이용자는 '정정이 없구나'로 읽는다.</w:t>
      </w:r>
    </w:p>
    <w:p>
      <w:pPr>
        <w:spacing w:after="20" w:line="252" w:lineRule="auto"/>
      </w:pPr>
      <w:r>
        <w:rPr>
          <w:rFonts w:ascii="맑은 고딕" w:hAnsi="맑은 고딕" w:eastAsia="맑은 고딕"/>
          <w:b/>
          <w:sz w:val="17"/>
        </w:rPr>
        <w:t xml:space="preserve">[거래상대가 문자열로만 남는다] </w:t>
      </w:r>
      <w:r>
        <w:rPr>
          <w:rFonts w:ascii="맑은 고딕" w:hAnsi="맑은 고딕" w:eastAsia="맑은 고딕"/>
          <w:b w:val="0"/>
          <w:sz w:val="17"/>
        </w:rPr>
        <w:t xml:space="preserve">계약 상대방 기재율은 97.5%지만 그 이름이 코퍼스 안의 다른 상장사로 정확히 이어지는 비율은 </w:t>
      </w:r>
      <w:r>
        <w:rPr>
          <w:rFonts w:ascii="맑은 고딕" w:hAnsi="맑은 고딕" w:eastAsia="맑은 고딕"/>
          <w:b/>
          <w:sz w:val="17"/>
        </w:rPr>
        <w:t>12.4%</w:t>
      </w:r>
      <w:r>
        <w:rPr>
          <w:rFonts w:ascii="맑은 고딕" w:hAnsi="맑은 고딕" w:eastAsia="맑은 고딕"/>
          <w:b w:val="0"/>
          <w:sz w:val="17"/>
        </w:rPr>
        <w:t>다. 나머지는 해외 법인·공공 부문·비공개 처리이고, 기업끼리 직접 잇는 그래프는 서지 않는다.</w:t>
      </w:r>
    </w:p>
    <w:p>
      <w:pPr>
        <w:spacing w:after="20" w:before="60" w:line="252" w:lineRule="auto"/>
      </w:pPr>
      <w:r>
        <w:rPr>
          <w:rFonts w:ascii="맑은 고딕" w:hAnsi="맑은 고딕" w:eastAsia="맑은 고딕"/>
          <w:b/>
          <w:sz w:val="18"/>
        </w:rPr>
        <w:t>■ 서비스로서의 필요성 — 대조를 사람이 아니라 화면이 한다</w:t>
      </w:r>
    </w:p>
    <w:p>
      <w:pPr>
        <w:spacing w:after="10" w:line="252" w:lineRule="auto"/>
        <w:ind w:left="181"/>
      </w:pPr>
      <w:r>
        <w:rPr>
          <w:rFonts w:ascii="맑은 고딕" w:hAnsi="맑은 고딕" w:eastAsia="맑은 고딕"/>
          <w:b w:val="0"/>
          <w:sz w:val="17"/>
        </w:rPr>
        <w:t>· 위 셋은 모두 '여러 건을 나란히 놓고 비교하는' 작업이고 그것은 시스템이 할 일이다. 계약·정정·거래상대를 한 화면에 모으면 확인 시간이 줄어든다.</w:t>
      </w:r>
    </w:p>
    <w:p>
      <w:pPr>
        <w:spacing w:after="10" w:line="252" w:lineRule="auto"/>
        <w:ind w:left="181"/>
      </w:pPr>
      <w:r>
        <w:rPr>
          <w:rFonts w:ascii="맑은 고딕" w:hAnsi="맑은 고딕" w:eastAsia="맑은 고딕"/>
          <w:b w:val="0"/>
          <w:sz w:val="17"/>
        </w:rPr>
        <w:t>· 동시에 자연어 질의에 답하되 반드시 접수번호 근거를 함께 돌려주어야 한다. 근거 없는 답은 공시 업무에서 쓸 수 없고, 지어낸 답은 쓰지 않느니만 못하다. 따라서 답하는 엔진과 보여 주는 서비스를 한 산출물로 묶고 양쪽에 '값이 없으면 비운다'를 동일하게 적용한다.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9"/>
        <w:gridCol w:w="9326"/>
      </w:tblGrid>
      <w:tr>
        <w:tc>
          <w:tcPr>
            <w:tcW w:type="dxa" w:w="539"/>
            <w:vAlign w:val="center"/>
            <w:shd w:val="clear" w:fill="1F3864"/>
          </w:tcPr>
          <w:p>
            <w:pPr>
              <w:spacing w:after="0" w:before="0" w:line="24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6"/>
              </w:rPr>
              <w:t>2</w:t>
            </w:r>
          </w:p>
        </w:tc>
        <w:tc>
          <w:tcPr>
            <w:tcW w:type="dxa" w:w="9326"/>
            <w:vAlign w:val="center"/>
            <w:shd w:val="clear" w:fill="D9E2F3"/>
          </w:tcPr>
          <w:p>
            <w:pPr>
              <w:spacing w:after="0" w:before="0" w:line="247" w:lineRule="auto"/>
            </w:pPr>
            <w:r>
              <w:rPr>
                <w:rFonts w:ascii="맑은 고딕" w:hAnsi="맑은 고딕" w:eastAsia="맑은 고딕"/>
                <w:b/>
                <w:sz w:val="21"/>
              </w:rPr>
              <w:t>연구개발과제의 목표 및 내용</w:t>
            </w:r>
          </w:p>
        </w:tc>
      </w:tr>
    </w:tbl>
    <w:p>
      <w:pPr>
        <w:spacing w:after="20" w:before="0" w:line="252" w:lineRule="auto"/>
      </w:pPr>
    </w:p>
    <w:p>
      <w:pPr>
        <w:spacing w:after="20" w:before="60" w:line="252" w:lineRule="auto"/>
      </w:pPr>
      <w:r>
        <w:rPr>
          <w:rFonts w:ascii="맑은 고딕" w:hAnsi="맑은 고딕" w:eastAsia="맑은 고딕"/>
          <w:b/>
          <w:sz w:val="18"/>
        </w:rPr>
        <w:t>2-1. 연구개발과제의 사업성 및 기술성</w:t>
      </w:r>
    </w:p>
    <w:p>
      <w:pPr>
        <w:spacing w:after="20" w:before="60" w:line="252" w:lineRule="auto"/>
      </w:pPr>
      <w:r>
        <w:rPr>
          <w:rFonts w:ascii="맑은 고딕" w:hAnsi="맑은 고딕" w:eastAsia="맑은 고딕"/>
          <w:b/>
          <w:sz w:val="18"/>
        </w:rPr>
        <w:t>■ 연구개발과제의 사업성</w:t>
      </w:r>
    </w:p>
    <w:p>
      <w:pPr>
        <w:spacing w:after="20" w:line="252" w:lineRule="auto"/>
      </w:pPr>
      <w:r>
        <w:rPr>
          <w:rFonts w:ascii="맑은 고딕" w:hAnsi="맑은 고딕" w:eastAsia="맑은 고딕"/>
          <w:b/>
          <w:sz w:val="17"/>
        </w:rPr>
        <w:t xml:space="preserve">[운영비가 구조적으로 낮다] </w:t>
      </w:r>
      <w:r>
        <w:rPr>
          <w:rFonts w:ascii="맑은 고딕" w:hAnsi="맑은 고딕" w:eastAsia="맑은 고딕"/>
          <w:b w:val="0"/>
          <w:sz w:val="17"/>
        </w:rPr>
        <w:t xml:space="preserve">열람 서비스는 정적 사이트라 </w:t>
      </w:r>
      <w:r>
        <w:rPr>
          <w:rFonts w:ascii="맑은 고딕" w:hAnsi="맑은 고딕" w:eastAsia="맑은 고딕"/>
          <w:b/>
          <w:sz w:val="17"/>
        </w:rPr>
        <w:t>서버·데이터베이스·런타임 API 가 없다</w:t>
      </w:r>
      <w:r>
        <w:rPr>
          <w:rFonts w:ascii="맑은 고딕" w:hAnsi="맑은 고딕" w:eastAsia="맑은 고딕"/>
          <w:b w:val="0"/>
          <w:sz w:val="17"/>
        </w:rPr>
        <w:t>. 페이지가 읽는 것은 빌드 시점 JSON 뿐이고 사이트를 만드는 데 모델을 부르지 않는다(LLM 0회 · 네트워크 0회). 트래픽이 늘어도 한계비용이 사실상 0이다.</w:t>
      </w:r>
    </w:p>
    <w:p>
      <w:pPr>
        <w:spacing w:after="20" w:line="252" w:lineRule="auto"/>
      </w:pPr>
      <w:r>
        <w:rPr>
          <w:rFonts w:ascii="맑은 고딕" w:hAnsi="맑은 고딕" w:eastAsia="맑은 고딕"/>
          <w:b/>
          <w:sz w:val="17"/>
        </w:rPr>
        <w:t xml:space="preserve">[수요처가 이미 그 업무를 하고 있다] </w:t>
      </w:r>
      <w:r>
        <w:rPr>
          <w:rFonts w:ascii="맑은 고딕" w:hAnsi="맑은 고딕" w:eastAsia="맑은 고딕"/>
          <w:b w:val="0"/>
          <w:sz w:val="17"/>
        </w:rPr>
        <w:t>증권사 리서치·회계법인 감사·상장사 IR·기관 준법감시는 지금도 같은 대조를 수작업으로 한다. 새 습관을 요구하지 않고 기존 작업의 시간을 줄이는 형태라 도입 저항이 낮다.</w:t>
      </w:r>
    </w:p>
    <w:p>
      <w:pPr>
        <w:spacing w:after="20" w:line="252" w:lineRule="auto"/>
      </w:pPr>
      <w:r>
        <w:rPr>
          <w:rFonts w:ascii="맑은 고딕" w:hAnsi="맑은 고딕" w:eastAsia="맑은 고딕"/>
          <w:b/>
          <w:sz w:val="17"/>
        </w:rPr>
        <w:t xml:space="preserve">[엔진이 API 로 분리되어 결합이 쉽다] </w:t>
      </w:r>
      <w:r>
        <w:rPr>
          <w:rFonts w:ascii="맑은 고딕" w:hAnsi="맑은 고딕" w:eastAsia="맑은 고딕"/>
          <w:b w:val="0"/>
          <w:sz w:val="17"/>
        </w:rPr>
        <w:t xml:space="preserve">엔진은 고정 스키마 </w:t>
      </w:r>
      <w:r>
        <w:rPr>
          <w:rFonts w:ascii="맑은 고딕" w:hAnsi="맑은 고딕" w:eastAsia="맑은 고딕"/>
          <w:b/>
          <w:sz w:val="17"/>
        </w:rPr>
        <w:t>GET /answer</w:t>
      </w:r>
      <w:r>
        <w:rPr>
          <w:rFonts w:ascii="맑은 고딕" w:hAnsi="맑은 고딕" w:eastAsia="맑은 고딕"/>
          <w:b w:val="0"/>
          <w:sz w:val="17"/>
        </w:rPr>
        <w:t xml:space="preserve"> 하나로 노출되고 응답은 5개 키(question_id · question · retrieved_context · think_trace · answer)로 고정된다. 화면 없이 엔진만 떼어 기존 업무 시스템에 붙일 수 있다.</w:t>
      </w:r>
    </w:p>
    <w:p>
      <w:pPr>
        <w:spacing w:after="20" w:before="60" w:line="252" w:lineRule="auto"/>
      </w:pPr>
      <w:r>
        <w:rPr>
          <w:rFonts w:ascii="맑은 고딕" w:hAnsi="맑은 고딕" w:eastAsia="맑은 고딕"/>
          <w:b/>
          <w:sz w:val="18"/>
        </w:rPr>
        <w:t>■ 연구개발과제의 기술성</w:t>
      </w:r>
    </w:p>
    <w:p>
      <w:pPr>
        <w:spacing w:after="20" w:line="252" w:lineRule="auto"/>
      </w:pPr>
      <w:r>
        <w:rPr>
          <w:rFonts w:ascii="맑은 고딕" w:hAnsi="맑은 고딕" w:eastAsia="맑은 고딕"/>
          <w:b/>
          <w:sz w:val="17"/>
        </w:rPr>
        <w:t xml:space="preserve">[핵심 기술 1: 검색·도구·검증을 LLM 없이 처리하는 구조] </w:t>
      </w:r>
      <w:r>
        <w:rPr>
          <w:rFonts w:ascii="맑은 고딕" w:hAnsi="맑은 고딕" w:eastAsia="맑은 고딕"/>
          <w:b w:val="0"/>
          <w:sz w:val="17"/>
        </w:rPr>
        <w:t xml:space="preserve">라우팅은 규칙으로, 검색은 메타 프리필터와 BM25 로, 계산은 전용 도구 7종으로, 검증은 결정적 검사 3종으로 처리한다. </w:t>
      </w:r>
      <w:r>
        <w:rPr>
          <w:rFonts w:ascii="맑은 고딕" w:hAnsi="맑은 고딕" w:eastAsia="맑은 고딕"/>
          <w:b/>
          <w:sz w:val="17"/>
        </w:rPr>
        <w:t>이 구간 전체가 LLM 호출 0회</w:t>
      </w:r>
      <w:r>
        <w:rPr>
          <w:rFonts w:ascii="맑은 고딕" w:hAnsi="맑은 고딕" w:eastAsia="맑은 고딕"/>
          <w:b w:val="0"/>
          <w:sz w:val="17"/>
        </w:rPr>
        <w:t>이므로 비용과 지연이 예측 가능하고 같은 입력에 같은 답이 나온다.</w:t>
      </w:r>
    </w:p>
    <w:p>
      <w:pPr>
        <w:spacing w:after="20" w:line="252" w:lineRule="auto"/>
      </w:pPr>
      <w:r>
        <w:rPr>
          <w:rFonts w:ascii="맑은 고딕" w:hAnsi="맑은 고딕" w:eastAsia="맑은 고딕"/>
          <w:b/>
          <w:sz w:val="17"/>
        </w:rPr>
        <w:t xml:space="preserve">[핵심 기술 2: 정정 체인과 거래상대 2-hop] </w:t>
      </w:r>
      <w:r>
        <w:rPr>
          <w:rFonts w:ascii="맑은 고딕" w:hAnsi="맑은 고딕" w:eastAsia="맑은 고딕"/>
          <w:b w:val="0"/>
          <w:sz w:val="17"/>
        </w:rPr>
        <w:t xml:space="preserve">정정본과 원공시를 체인으로 복원해 </w:t>
      </w:r>
      <w:r>
        <w:rPr>
          <w:rFonts w:ascii="맑은 고딕" w:hAnsi="맑은 고딕" w:eastAsia="맑은 고딕"/>
          <w:b/>
          <w:sz w:val="17"/>
        </w:rPr>
        <w:t>체인 위치로만</w:t>
      </w:r>
      <w:r>
        <w:rPr>
          <w:rFonts w:ascii="맑은 고딕" w:hAnsi="맑은 고딕" w:eastAsia="맑은 고딕"/>
          <w:b w:val="0"/>
          <w:sz w:val="17"/>
        </w:rPr>
        <w:t xml:space="preserve"> 최신 여부를 판정한다 — 금액 크기로 고르면 틀리기 때문이다. 또 기업끼리 직접 잇는 대신 여러 상장사와 계약하는 </w:t>
      </w:r>
      <w:r>
        <w:rPr>
          <w:rFonts w:ascii="맑은 고딕" w:hAnsi="맑은 고딕" w:eastAsia="맑은 고딕"/>
          <w:b/>
          <w:sz w:val="17"/>
        </w:rPr>
        <w:t>발주처를 노드로 승격</w:t>
      </w:r>
      <w:r>
        <w:rPr>
          <w:rFonts w:ascii="맑은 고딕" w:hAnsi="맑은 고딕" w:eastAsia="맑은 고딕"/>
          <w:b w:val="0"/>
          <w:sz w:val="17"/>
        </w:rPr>
        <w:t>해 기업–발주처–기업 2-hop 경로를 만든다.</w:t>
      </w:r>
    </w:p>
    <w:p>
      <w:pPr>
        <w:spacing w:after="20" w:line="252" w:lineRule="auto"/>
      </w:pPr>
      <w:r>
        <w:rPr>
          <w:rFonts w:ascii="맑은 고딕" w:hAnsi="맑은 고딕" w:eastAsia="맑은 고딕"/>
          <w:b/>
          <w:sz w:val="17"/>
        </w:rPr>
        <w:t xml:space="preserve">[차별성: 전제를 먼저 재고 기각했다] </w:t>
      </w:r>
      <w:r>
        <w:rPr>
          <w:rFonts w:ascii="맑은 고딕" w:hAnsi="맑은 고딕" w:eastAsia="맑은 고딕"/>
          <w:b w:val="0"/>
          <w:sz w:val="17"/>
        </w:rPr>
        <w:t xml:space="preserve">공시를 관계형 데이터로 보는 그래프 기반 검색이 통용되지만, 코퍼스에서 엣지 밀도를 직접 재어 </w:t>
      </w:r>
      <w:r>
        <w:rPr>
          <w:rFonts w:ascii="맑은 고딕" w:hAnsi="맑은 고딕" w:eastAsia="맑은 고딕"/>
          <w:b/>
          <w:sz w:val="17"/>
        </w:rPr>
        <w:t>12.4%</w:t>
      </w:r>
      <w:r>
        <w:rPr>
          <w:rFonts w:ascii="맑은 고딕" w:hAnsi="맑은 고딕" w:eastAsia="맑은 고딕"/>
          <w:b w:val="0"/>
          <w:sz w:val="17"/>
        </w:rPr>
        <w:t xml:space="preserve">임을 확인하고 그 전제를 기각했다. 임베딩 하이브리드도 붙여서 측정한 결과 검색 지표가 한 칸도 움직이지 않아 제외했다. 논문 17편을 단계별로 대응시켜 13편을 채택하고 </w:t>
      </w:r>
      <w:r>
        <w:rPr>
          <w:rFonts w:ascii="맑은 고딕" w:hAnsi="맑은 고딕" w:eastAsia="맑은 고딕"/>
          <w:b/>
          <w:sz w:val="17"/>
        </w:rPr>
        <w:t>4편은 측정 후 기각</w:t>
      </w:r>
      <w:r>
        <w:rPr>
          <w:rFonts w:ascii="맑은 고딕" w:hAnsi="맑은 고딕" w:eastAsia="맑은 고딕"/>
          <w:b w:val="0"/>
          <w:sz w:val="17"/>
        </w:rPr>
        <w:t>했다 — 채택보다 기각이 설계를 결정했다.</w:t>
      </w:r>
    </w:p>
    <w:p>
      <w:pPr>
        <w:spacing w:after="20" w:before="60" w:line="252" w:lineRule="auto"/>
      </w:pPr>
      <w:r>
        <w:rPr>
          <w:rFonts w:ascii="맑은 고딕" w:hAnsi="맑은 고딕" w:eastAsia="맑은 고딕"/>
          <w:b/>
          <w:sz w:val="18"/>
        </w:rPr>
        <w:t>2-2. 연구개발과제의 최종 목표, 내용 및 결과물</w:t>
      </w:r>
    </w:p>
    <w:p>
      <w:pPr>
        <w:spacing w:after="20" w:before="0" w:line="252" w:lineRule="auto"/>
      </w:pPr>
      <w:r>
        <w:rPr>
          <w:rFonts w:ascii="맑은 고딕" w:hAnsi="맑은 고딕" w:eastAsia="맑은 고딕"/>
          <w:b w:val="0"/>
          <w:sz w:val="17"/>
        </w:rPr>
        <w:t>공시 질의에 근거와 함께 답하는 엔진과, 그 근거가 된 관계를 사람이 직접 확인하는 열람 서비스를 하나로 완성한다. 아래가 엔진의 실행 순서와 서비스 화면이다.</w:t>
      </w:r>
    </w:p>
    <w:p>
      <w:pPr>
        <w:spacing w:after="20" w:before="60" w:line="252" w:lineRule="auto"/>
      </w:pPr>
      <w:r>
        <w:rPr>
          <w:rFonts w:ascii="맑은 고딕" w:hAnsi="맑은 고딕" w:eastAsia="맑은 고딕"/>
          <w:b/>
          <w:sz w:val="18"/>
        </w:rPr>
        <w:t>■ 개념도 — 질의응답 엔진 실행 파이프라인 (최종 베이스라인)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4248000" cy="43040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gus-algorithm-v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4304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 w:line="252" w:lineRule="auto"/>
        <w:jc w:val="center"/>
      </w:pPr>
      <w:r>
        <w:rPr>
          <w:rFonts w:ascii="맑은 고딕" w:hAnsi="맑은 고딕" w:eastAsia="맑은 고딕"/>
          <w:b w:val="0"/>
          <w:color w:val="595959"/>
          <w:sz w:val="15"/>
        </w:rPr>
        <w:t>그림 1. 입력·라우팅(A) → 검색·도구(B) → 생성·검증·처분(C) → 가드·계기판(D). 파란 단계가 LLM 호출 0회 구간이며 파이프라인의 대부분을 차지한다.</w:t>
      </w:r>
    </w:p>
    <w:p>
      <w:pPr>
        <w:spacing w:after="20" w:before="60" w:line="252" w:lineRule="auto"/>
      </w:pPr>
      <w:r>
        <w:rPr>
          <w:rFonts w:ascii="맑은 고딕" w:hAnsi="맑은 고딕" w:eastAsia="맑은 고딕"/>
          <w:b/>
          <w:sz w:val="18"/>
        </w:rPr>
        <w:t>■ 최종 사용자 인터페이스 — 관계 열람 서비스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2951999" cy="26146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gus-site-compan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1999" cy="26146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 w:line="252" w:lineRule="auto"/>
        <w:jc w:val="center"/>
      </w:pPr>
      <w:r>
        <w:rPr>
          <w:rFonts w:ascii="맑은 고딕" w:hAnsi="맑은 고딕" w:eastAsia="맑은 고딕"/>
          <w:b w:val="0"/>
          <w:color w:val="595959"/>
          <w:sz w:val="15"/>
        </w:rPr>
        <w:t>그림 2. 기업 목록 화면. 업종별로 묶어 공시 건수와 정정 건수를 함께 보여 주고, 회사를 고르면 계약·정정·거래상대를 한 화면에서 본다.</w:t>
      </w:r>
    </w:p>
    <w:p>
      <w:pPr>
        <w:spacing w:after="10" w:line="252" w:lineRule="auto"/>
        <w:ind w:left="181"/>
      </w:pPr>
      <w:r>
        <w:rPr>
          <w:rFonts w:ascii="맑은 고딕" w:hAnsi="맑은 고딕" w:eastAsia="맑은 고딕"/>
          <w:b w:val="0"/>
          <w:sz w:val="17"/>
        </w:rPr>
        <w:t>· 정정 추적에 실패한 309건을 목록에서 빼지 않고 사유와 함께 표시하며, 재무 요약은 기간·단위·연결 여부가 문서에서 모두 읽힐 때만 싣는다(70곳 중 50곳). 화면마다 그 화면의 한계를 명시한다.</w:t>
      </w:r>
    </w:p>
    <w:p>
      <w:pPr>
        <w:spacing w:after="20" w:before="60" w:line="252" w:lineRule="auto"/>
      </w:pPr>
      <w:r>
        <w:rPr>
          <w:rFonts w:ascii="맑은 고딕" w:hAnsi="맑은 고딕" w:eastAsia="맑은 고딕"/>
          <w:b/>
          <w:sz w:val="18"/>
        </w:rPr>
        <w:t>■ 최종 성능 — 베이스라인 A20r (2026-08-16 실측)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61"/>
        <w:gridCol w:w="1814"/>
        <w:gridCol w:w="6690"/>
      </w:tblGrid>
      <w:tr>
        <w:tc>
          <w:tcPr>
            <w:tcW w:type="dxa" w:w="1361"/>
            <w:vAlign w:val="center"/>
            <w:shd w:val="clear" w:fill="D9E2F3"/>
          </w:tcPr>
          <w:p>
            <w:pPr>
              <w:spacing w:after="0" w:before="0" w:line="247" w:lineRule="auto"/>
              <w:jc w:val="center"/>
            </w:pPr>
            <w:r>
              <w:rPr>
                <w:rFonts w:ascii="맑은 고딕" w:hAnsi="맑은 고딕" w:eastAsia="맑은 고딕"/>
                <w:b/>
                <w:sz w:val="15"/>
              </w:rPr>
              <w:t>코호트</w:t>
            </w:r>
          </w:p>
        </w:tc>
        <w:tc>
          <w:tcPr>
            <w:tcW w:type="dxa" w:w="1814"/>
            <w:vAlign w:val="center"/>
            <w:shd w:val="clear" w:fill="D9E2F3"/>
          </w:tcPr>
          <w:p>
            <w:pPr>
              <w:spacing w:after="0" w:before="0" w:line="247" w:lineRule="auto"/>
              <w:jc w:val="center"/>
            </w:pPr>
            <w:r>
              <w:rPr>
                <w:rFonts w:ascii="맑은 고딕" w:hAnsi="맑은 고딕" w:eastAsia="맑은 고딕"/>
                <w:b/>
                <w:sz w:val="15"/>
              </w:rPr>
              <w:t>성적</w:t>
            </w:r>
          </w:p>
        </w:tc>
        <w:tc>
          <w:tcPr>
            <w:tcW w:type="dxa" w:w="6690"/>
            <w:vAlign w:val="center"/>
            <w:shd w:val="clear" w:fill="D9E2F3"/>
          </w:tcPr>
          <w:p>
            <w:pPr>
              <w:spacing w:after="0" w:before="0" w:line="247" w:lineRule="auto"/>
              <w:jc w:val="center"/>
            </w:pPr>
            <w:r>
              <w:rPr>
                <w:rFonts w:ascii="맑은 고딕" w:hAnsi="맑은 고딕" w:eastAsia="맑은 고딕"/>
                <w:b/>
                <w:sz w:val="15"/>
              </w:rPr>
              <w:t>분모의 뜻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before="0" w:line="247" w:lineRule="auto"/>
            </w:pPr>
            <w:r>
              <w:rPr>
                <w:rFonts w:ascii="맑은 고딕" w:hAnsi="맑은 고딕" w:eastAsia="맑은 고딕"/>
                <w:b w:val="0"/>
                <w:sz w:val="15"/>
              </w:rPr>
              <w:t>그리드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47" w:lineRule="auto"/>
            </w:pPr>
            <w:r>
              <w:rPr>
                <w:rFonts w:ascii="맑은 고딕" w:hAnsi="맑은 고딕" w:eastAsia="맑은 고딕"/>
                <w:b w:val="0"/>
                <w:sz w:val="15"/>
              </w:rPr>
              <w:t>67 / 72 (93.1%)</w:t>
            </w:r>
          </w:p>
        </w:tc>
        <w:tc>
          <w:tcPr>
            <w:tcW w:type="dxa" w:w="6690"/>
            <w:vAlign w:val="center"/>
          </w:tcPr>
          <w:p>
            <w:pPr>
              <w:spacing w:after="0" w:before="0" w:line="247" w:lineRule="auto"/>
            </w:pPr>
            <w:r>
              <w:rPr>
                <w:rFonts w:ascii="맑은 고딕" w:hAnsi="맑은 고딕" w:eastAsia="맑은 고딕"/>
                <w:b w:val="0"/>
                <w:sz w:val="15"/>
              </w:rPr>
              <w:t>질의 유형 × 답변 형태 × 난이도 3축 균등 배치. 정답률 판정의 유일한 분모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before="0" w:line="247" w:lineRule="auto"/>
            </w:pPr>
            <w:r>
              <w:rPr>
                <w:rFonts w:ascii="맑은 고딕" w:hAnsi="맑은 고딕" w:eastAsia="맑은 고딕"/>
                <w:b w:val="0"/>
                <w:sz w:val="15"/>
              </w:rPr>
              <w:t>전체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47" w:lineRule="auto"/>
            </w:pPr>
            <w:r>
              <w:rPr>
                <w:rFonts w:ascii="맑은 고딕" w:hAnsi="맑은 고딕" w:eastAsia="맑은 고딕"/>
                <w:b w:val="0"/>
                <w:sz w:val="15"/>
              </w:rPr>
              <w:t>83 / 88</w:t>
            </w:r>
          </w:p>
        </w:tc>
        <w:tc>
          <w:tcPr>
            <w:tcW w:type="dxa" w:w="6690"/>
            <w:vAlign w:val="center"/>
          </w:tcPr>
          <w:p>
            <w:pPr>
              <w:spacing w:after="0" w:before="0" w:line="247" w:lineRule="auto"/>
            </w:pPr>
            <w:r>
              <w:rPr>
                <w:rFonts w:ascii="맑은 고딕" w:hAnsi="맑은 고딕" w:eastAsia="맑은 고딕"/>
                <w:b w:val="0"/>
                <w:sz w:val="15"/>
              </w:rPr>
              <w:t>그리드 72 + 정보한계 6 + 회귀 10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before="0" w:line="247" w:lineRule="auto"/>
            </w:pPr>
            <w:r>
              <w:rPr>
                <w:rFonts w:ascii="맑은 고딕" w:hAnsi="맑은 고딕" w:eastAsia="맑은 고딕"/>
                <w:b w:val="0"/>
                <w:sz w:val="15"/>
              </w:rPr>
              <w:t>밸류체인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47" w:lineRule="auto"/>
            </w:pPr>
            <w:r>
              <w:rPr>
                <w:rFonts w:ascii="맑은 고딕" w:hAnsi="맑은 고딕" w:eastAsia="맑은 고딕"/>
                <w:b w:val="0"/>
                <w:sz w:val="15"/>
              </w:rPr>
              <w:t>7 / 12</w:t>
            </w:r>
          </w:p>
        </w:tc>
        <w:tc>
          <w:tcPr>
            <w:tcW w:type="dxa" w:w="6690"/>
            <w:vAlign w:val="center"/>
          </w:tcPr>
          <w:p>
            <w:pPr>
              <w:spacing w:after="0" w:before="0" w:line="247" w:lineRule="auto"/>
            </w:pPr>
            <w:r>
              <w:rPr>
                <w:rFonts w:ascii="맑은 고딕" w:hAnsi="맑은 고딕" w:eastAsia="맑은 고딕"/>
                <w:b w:val="0"/>
                <w:sz w:val="15"/>
              </w:rPr>
              <w:t>발주처를 경유해야만 풀리는 질의 (그리드 밖)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before="0" w:line="247" w:lineRule="auto"/>
            </w:pPr>
            <w:r>
              <w:rPr>
                <w:rFonts w:ascii="맑은 고딕" w:hAnsi="맑은 고딕" w:eastAsia="맑은 고딕"/>
                <w:b w:val="0"/>
                <w:sz w:val="15"/>
              </w:rPr>
              <w:t>안전성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47" w:lineRule="auto"/>
            </w:pPr>
            <w:r>
              <w:rPr>
                <w:rFonts w:ascii="맑은 고딕" w:hAnsi="맑은 고딕" w:eastAsia="맑은 고딕"/>
                <w:b w:val="0"/>
                <w:sz w:val="15"/>
              </w:rPr>
              <w:t>9 / 12</w:t>
            </w:r>
          </w:p>
        </w:tc>
        <w:tc>
          <w:tcPr>
            <w:tcW w:type="dxa" w:w="6690"/>
            <w:vAlign w:val="center"/>
          </w:tcPr>
          <w:p>
            <w:pPr>
              <w:spacing w:after="0" w:before="0" w:line="247" w:lineRule="auto"/>
            </w:pPr>
            <w:r>
              <w:rPr>
                <w:rFonts w:ascii="맑은 고딕" w:hAnsi="맑은 고딕" w:eastAsia="맑은 고딕"/>
                <w:b w:val="0"/>
                <w:sz w:val="15"/>
              </w:rPr>
              <w:t>PII 유출 · 정책적 거절 · 인식론적 거절 3축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before="0" w:line="247" w:lineRule="auto"/>
            </w:pPr>
            <w:r>
              <w:rPr>
                <w:rFonts w:ascii="맑은 고딕" w:hAnsi="맑은 고딕" w:eastAsia="맑은 고딕"/>
                <w:b w:val="0"/>
                <w:sz w:val="15"/>
              </w:rPr>
              <w:t>골든 근거 회수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47" w:lineRule="auto"/>
            </w:pPr>
            <w:r>
              <w:rPr>
                <w:rFonts w:ascii="맑은 고딕" w:hAnsi="맑은 고딕" w:eastAsia="맑은 고딕"/>
                <w:b w:val="0"/>
                <w:sz w:val="15"/>
              </w:rPr>
              <w:t>126 / 133</w:t>
            </w:r>
          </w:p>
        </w:tc>
        <w:tc>
          <w:tcPr>
            <w:tcW w:type="dxa" w:w="6690"/>
            <w:vAlign w:val="center"/>
          </w:tcPr>
          <w:p>
            <w:pPr>
              <w:spacing w:after="0" w:before="0" w:line="247" w:lineRule="auto"/>
            </w:pPr>
            <w:r>
              <w:rPr>
                <w:rFonts w:ascii="맑은 고딕" w:hAnsi="맑은 고딕" w:eastAsia="맑은 고딕"/>
                <w:b w:val="0"/>
                <w:sz w:val="15"/>
              </w:rPr>
              <w:t>답에 필요한 근거 공시를 실제로 회수한 비율</w:t>
            </w:r>
          </w:p>
        </w:tc>
      </w:tr>
    </w:tbl>
    <w:p>
      <w:pPr>
        <w:spacing w:after="20" w:before="0" w:line="252" w:lineRule="auto"/>
      </w:pPr>
    </w:p>
    <w:p>
      <w:pPr>
        <w:spacing w:after="20" w:line="247" w:lineRule="auto"/>
        <w:ind w:left="181"/>
      </w:pPr>
      <w:r>
        <w:rPr>
          <w:rFonts w:ascii="맑은 고딕" w:hAnsi="맑은 고딕" w:eastAsia="맑은 고딕"/>
          <w:b w:val="0"/>
          <w:color w:val="595959"/>
          <w:sz w:val="15"/>
        </w:rPr>
        <w:t>※ 질문당 LLM 호출 상한 6회 · 검색과 검증은 0회. 전 과정 토큰 실지출 12,271원.</w:t>
      </w:r>
    </w:p>
    <w:p>
      <w:pPr>
        <w:spacing w:after="20" w:before="60" w:line="252" w:lineRule="auto"/>
      </w:pPr>
      <w:r>
        <w:rPr>
          <w:rFonts w:ascii="맑은 고딕" w:hAnsi="맑은 고딕" w:eastAsia="맑은 고딕"/>
          <w:b/>
          <w:sz w:val="18"/>
        </w:rPr>
        <w:t>2-3. 연구개발과제의 단계별 목표, 내용 및 결과물</w:t>
      </w:r>
    </w:p>
    <w:p>
      <w:pPr>
        <w:spacing w:after="20" w:line="252" w:lineRule="auto"/>
      </w:pPr>
      <w:r>
        <w:rPr>
          <w:rFonts w:ascii="맑은 고딕" w:hAnsi="맑은 고딕" w:eastAsia="맑은 고딕"/>
          <w:b/>
          <w:sz w:val="18"/>
        </w:rPr>
        <w:t>(1) 1단계: 질의응답 엔진의 베이스라인 확정</w:t>
      </w:r>
    </w:p>
    <w:p>
      <w:pPr>
        <w:spacing w:after="20" w:line="252" w:lineRule="auto"/>
      </w:pPr>
      <w:r>
        <w:rPr>
          <w:rFonts w:ascii="맑은 고딕" w:hAnsi="맑은 고딕" w:eastAsia="맑은 고딕"/>
          <w:b/>
          <w:sz w:val="17"/>
        </w:rPr>
        <w:t xml:space="preserve">[목표] </w:t>
      </w:r>
      <w:r>
        <w:rPr>
          <w:rFonts w:ascii="맑은 고딕" w:hAnsi="맑은 고딕" w:eastAsia="맑은 고딕"/>
          <w:b w:val="0"/>
          <w:sz w:val="17"/>
        </w:rPr>
        <w:t xml:space="preserve">무엇이 성능을 벌었는지 구성요소 단위로 분리해 측정하고 그 결과로 최종 구성을 고른다. 좋아 보이는 것을 넣는 것이 아니라 </w:t>
      </w:r>
      <w:r>
        <w:rPr>
          <w:rFonts w:ascii="맑은 고딕" w:hAnsi="맑은 고딕" w:eastAsia="맑은 고딕"/>
          <w:b/>
          <w:sz w:val="17"/>
        </w:rPr>
        <w:t>재보고 남은 것만</w:t>
      </w:r>
      <w:r>
        <w:rPr>
          <w:rFonts w:ascii="맑은 고딕" w:hAnsi="맑은 고딕" w:eastAsia="맑은 고딕"/>
          <w:b w:val="0"/>
          <w:sz w:val="17"/>
        </w:rPr>
        <w:t xml:space="preserve"> 넣는다.</w:t>
      </w:r>
    </w:p>
    <w:p>
      <w:pPr>
        <w:spacing w:after="10" w:line="252" w:lineRule="auto"/>
        <w:ind w:left="181"/>
      </w:pPr>
      <w:r>
        <w:rPr>
          <w:rFonts w:ascii="맑은 고딕" w:hAnsi="맑은 고딕" w:eastAsia="맑은 고딕"/>
          <w:b w:val="0"/>
          <w:sz w:val="17"/>
        </w:rPr>
        <w:t>· 골든셋 — 질의 유형·답변 형태·난이도 3축 그리드에 셀당 균등 배치. 감시가 목적인 회귀 문항과 발주처가 필요한 밸류체인 문항은 난이도 축을 오염시키지 않도록 그리드 밖에 둔다</w:t>
      </w:r>
    </w:p>
    <w:p>
      <w:pPr>
        <w:spacing w:after="10" w:line="252" w:lineRule="auto"/>
        <w:ind w:left="181"/>
      </w:pPr>
      <w:r>
        <w:rPr>
          <w:rFonts w:ascii="맑은 고딕" w:hAnsi="맑은 고딕" w:eastAsia="맑은 고딕"/>
          <w:b w:val="0"/>
          <w:sz w:val="17"/>
        </w:rPr>
        <w:t>· 사다리 — 구성요소를 하나씩 켜 올리며 Δ 기록. 검색 커버리지와 에이전트 루프 두 단계가 상승분의 대부분을 만들었고 둘 다 LLM 을 더 쓰는 것이 아니라 규칙 파싱과 도구 호출이었다</w:t>
      </w:r>
    </w:p>
    <w:p>
      <w:pPr>
        <w:spacing w:after="10" w:line="252" w:lineRule="auto"/>
        <w:ind w:left="181"/>
      </w:pPr>
      <w:r>
        <w:rPr>
          <w:rFonts w:ascii="맑은 고딕" w:hAnsi="맑은 고딕" w:eastAsia="맑은 고딕"/>
          <w:b w:val="0"/>
          <w:sz w:val="17"/>
        </w:rPr>
        <w:t>· LOO — 완성 구성에서 하나씩 빼서 필수성 확인. 인덱스 군 축을 빼면 −20.8%p 로 가장 크게 무너져 문서군별 별도 인덱스가 필수임이 드러났다</w:t>
      </w:r>
    </w:p>
    <w:p>
      <w:pPr>
        <w:spacing w:after="20" w:line="252" w:lineRule="auto"/>
      </w:pPr>
      <w:r>
        <w:rPr>
          <w:rFonts w:ascii="맑은 고딕" w:hAnsi="맑은 고딕" w:eastAsia="맑은 고딕"/>
          <w:b/>
          <w:sz w:val="17"/>
        </w:rPr>
        <w:t xml:space="preserve">[결과물] </w:t>
      </w:r>
      <w:r>
        <w:rPr>
          <w:rFonts w:ascii="맑은 고딕" w:hAnsi="맑은 고딕" w:eastAsia="맑은 고딕"/>
          <w:b w:val="0"/>
          <w:sz w:val="17"/>
        </w:rPr>
        <w:t>① 최종 베이스라인 A20r, ② 구성요소별 기여도 곡선과 LOO 표, ③ 실패 유형별 귀속 결과와 재현 회귀 문항</w:t>
      </w:r>
    </w:p>
    <w:p>
      <w:pPr>
        <w:spacing w:after="20" w:line="252" w:lineRule="auto"/>
      </w:pPr>
      <w:r>
        <w:rPr>
          <w:rFonts w:ascii="맑은 고딕" w:hAnsi="맑은 고딕" w:eastAsia="맑은 고딕"/>
          <w:b/>
          <w:sz w:val="18"/>
        </w:rPr>
        <w:t>(2) 2단계: 관계 열람 서비스 구축 및 배포</w:t>
      </w:r>
    </w:p>
    <w:p>
      <w:pPr>
        <w:spacing w:after="20" w:line="252" w:lineRule="auto"/>
      </w:pPr>
      <w:r>
        <w:rPr>
          <w:rFonts w:ascii="맑은 고딕" w:hAnsi="맑은 고딕" w:eastAsia="맑은 고딕"/>
          <w:b/>
          <w:sz w:val="17"/>
        </w:rPr>
        <w:t xml:space="preserve">[목표] </w:t>
      </w:r>
      <w:r>
        <w:rPr>
          <w:rFonts w:ascii="맑은 고딕" w:hAnsi="맑은 고딕" w:eastAsia="맑은 고딕"/>
          <w:b w:val="0"/>
          <w:sz w:val="17"/>
        </w:rPr>
        <w:t>엔진과 같은 원천을 읽는 열람 서비스를 올려, 답을 받는 것과 근거를 직접 확인하는 것이 한 산출물 안에서 이어지게 한다.</w:t>
      </w:r>
    </w:p>
    <w:p>
      <w:pPr>
        <w:spacing w:after="10" w:line="252" w:lineRule="auto"/>
        <w:ind w:left="181"/>
      </w:pPr>
      <w:r>
        <w:rPr>
          <w:rFonts w:ascii="맑은 고딕" w:hAnsi="맑은 고딕" w:eastAsia="맑은 고딕"/>
          <w:b w:val="0"/>
          <w:sz w:val="17"/>
        </w:rPr>
        <w:t>· 화면 설계 — 화면을 만들기 전에 '이걸 보러 온 사람이 하려는 일'을 한 줄로 먼저 쓰고, 쓸 수 없으면 그 화면을 만들지 않는다. 기업·정정 추적·관계망·소개 네 갈래로 확정</w:t>
      </w:r>
    </w:p>
    <w:p>
      <w:pPr>
        <w:spacing w:after="10" w:line="252" w:lineRule="auto"/>
        <w:ind w:left="181"/>
      </w:pPr>
      <w:r>
        <w:rPr>
          <w:rFonts w:ascii="맑은 고딕" w:hAnsi="맑은 고딕" w:eastAsia="맑은 고딕"/>
          <w:b w:val="0"/>
          <w:sz w:val="17"/>
        </w:rPr>
        <w:t>· 데이터 생성 — 허용 목록에 적힌 여덟 개 원천만 읽도록 강제하고 그 밖의 경로는 차단한다. 금지 목록이 아니라 허용 목록이라 원천이 늘어도 조용히 새지 않는다</w:t>
      </w:r>
    </w:p>
    <w:p>
      <w:pPr>
        <w:spacing w:after="10" w:line="252" w:lineRule="auto"/>
        <w:ind w:left="181"/>
      </w:pPr>
      <w:r>
        <w:rPr>
          <w:rFonts w:ascii="맑은 고딕" w:hAnsi="맑은 고딕" w:eastAsia="맑은 고딕"/>
          <w:b w:val="0"/>
          <w:sz w:val="17"/>
        </w:rPr>
        <w:t>· 배포 — 정적 export 로 사이트를 내보내고 엔진은 공인 IP 서버에 systemd 로 상시 가동. 평가 기간 무중단 유지</w:t>
      </w:r>
    </w:p>
    <w:p>
      <w:pPr>
        <w:spacing w:after="20" w:line="252" w:lineRule="auto"/>
      </w:pPr>
      <w:r>
        <w:rPr>
          <w:rFonts w:ascii="맑은 고딕" w:hAnsi="맑은 고딕" w:eastAsia="맑은 고딕"/>
          <w:b/>
          <w:sz w:val="17"/>
        </w:rPr>
        <w:t xml:space="preserve">[결과물] </w:t>
      </w:r>
      <w:r>
        <w:rPr>
          <w:rFonts w:ascii="맑은 고딕" w:hAnsi="맑은 고딕" w:eastAsia="맑은 고딕"/>
          <w:b w:val="0"/>
          <w:sz w:val="17"/>
        </w:rPr>
        <w:t>① 관계 열람 정적 사이트(기업 70곳 · 정정 631건 · 거래상대 145곳), ② 공인 IP 질의응답 엔드포인트, ③ API 명세와 운영 문서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9"/>
        <w:gridCol w:w="9326"/>
      </w:tblGrid>
      <w:tr>
        <w:tc>
          <w:tcPr>
            <w:tcW w:type="dxa" w:w="539"/>
            <w:vAlign w:val="center"/>
            <w:shd w:val="clear" w:fill="1F3864"/>
          </w:tcPr>
          <w:p>
            <w:pPr>
              <w:spacing w:after="0" w:before="0" w:line="24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6"/>
              </w:rPr>
              <w:t>3</w:t>
            </w:r>
          </w:p>
        </w:tc>
        <w:tc>
          <w:tcPr>
            <w:tcW w:type="dxa" w:w="9326"/>
            <w:vAlign w:val="center"/>
            <w:shd w:val="clear" w:fill="D9E2F3"/>
          </w:tcPr>
          <w:p>
            <w:pPr>
              <w:spacing w:after="0" w:before="0" w:line="247" w:lineRule="auto"/>
            </w:pPr>
            <w:r>
              <w:rPr>
                <w:rFonts w:ascii="맑은 고딕" w:hAnsi="맑은 고딕" w:eastAsia="맑은 고딕"/>
                <w:b/>
                <w:sz w:val="21"/>
              </w:rPr>
              <w:t>연구개발과제의 추진전략·방법 및 추진체계</w:t>
            </w:r>
          </w:p>
        </w:tc>
      </w:tr>
    </w:tbl>
    <w:p>
      <w:pPr>
        <w:spacing w:after="20" w:before="0" w:line="252" w:lineRule="auto"/>
      </w:pPr>
    </w:p>
    <w:p>
      <w:pPr>
        <w:spacing w:after="20" w:before="60" w:line="252" w:lineRule="auto"/>
      </w:pPr>
      <w:r>
        <w:rPr>
          <w:rFonts w:ascii="맑은 고딕" w:hAnsi="맑은 고딕" w:eastAsia="맑은 고딕"/>
          <w:b/>
          <w:sz w:val="18"/>
        </w:rPr>
        <w:t>■ 추진방법 — 파이프라인을 네 구역으로 나누고 LLM 을 생성 구간에만 둔다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04"/>
        <w:gridCol w:w="7427"/>
        <w:gridCol w:w="1134"/>
      </w:tblGrid>
      <w:tr>
        <w:tc>
          <w:tcPr>
            <w:tcW w:type="dxa" w:w="1304"/>
            <w:vAlign w:val="center"/>
            <w:shd w:val="clear" w:fill="D9E2F3"/>
          </w:tcPr>
          <w:p>
            <w:pPr>
              <w:spacing w:after="0" w:before="0" w:line="247" w:lineRule="auto"/>
              <w:jc w:val="center"/>
            </w:pPr>
            <w:r>
              <w:rPr>
                <w:rFonts w:ascii="맑은 고딕" w:hAnsi="맑은 고딕" w:eastAsia="맑은 고딕"/>
                <w:b/>
                <w:sz w:val="15"/>
              </w:rPr>
              <w:t>구역</w:t>
            </w:r>
          </w:p>
        </w:tc>
        <w:tc>
          <w:tcPr>
            <w:tcW w:type="dxa" w:w="7427"/>
            <w:vAlign w:val="center"/>
            <w:shd w:val="clear" w:fill="D9E2F3"/>
          </w:tcPr>
          <w:p>
            <w:pPr>
              <w:spacing w:after="0" w:before="0" w:line="247" w:lineRule="auto"/>
              <w:jc w:val="center"/>
            </w:pPr>
            <w:r>
              <w:rPr>
                <w:rFonts w:ascii="맑은 고딕" w:hAnsi="맑은 고딕" w:eastAsia="맑은 고딕"/>
                <w:b/>
                <w:sz w:val="15"/>
              </w:rPr>
              <w:t>하는 일</w:t>
            </w:r>
          </w:p>
        </w:tc>
        <w:tc>
          <w:tcPr>
            <w:tcW w:type="dxa" w:w="1134"/>
            <w:vAlign w:val="center"/>
            <w:shd w:val="clear" w:fill="D9E2F3"/>
          </w:tcPr>
          <w:p>
            <w:pPr>
              <w:spacing w:after="0" w:before="0" w:line="247" w:lineRule="auto"/>
              <w:jc w:val="center"/>
            </w:pPr>
            <w:r>
              <w:rPr>
                <w:rFonts w:ascii="맑은 고딕" w:hAnsi="맑은 고딕" w:eastAsia="맑은 고딕"/>
                <w:b/>
                <w:sz w:val="15"/>
              </w:rPr>
              <w:t>LLM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0" w:before="0" w:line="247" w:lineRule="auto"/>
            </w:pPr>
            <w:r>
              <w:rPr>
                <w:rFonts w:ascii="맑은 고딕" w:hAnsi="맑은 고딕" w:eastAsia="맑은 고딕"/>
                <w:b w:val="0"/>
                <w:sz w:val="15"/>
              </w:rPr>
              <w:t>A 입력·라우팅</w:t>
            </w:r>
          </w:p>
        </w:tc>
        <w:tc>
          <w:tcPr>
            <w:tcW w:type="dxa" w:w="7427"/>
            <w:vAlign w:val="center"/>
          </w:tcPr>
          <w:p>
            <w:pPr>
              <w:spacing w:after="0" w:before="0" w:line="247" w:lineRule="auto"/>
            </w:pPr>
            <w:r>
              <w:rPr>
                <w:rFonts w:ascii="맑은 고딕" w:hAnsi="맑은 고딕" w:eastAsia="맑은 고딕"/>
                <w:b w:val="0"/>
                <w:sz w:val="15"/>
              </w:rPr>
              <w:t>입력 안전 계층(PII 마스킹·프롬프트 인젝션 탐지) 후 규칙으로 질의 유형·난이도·문서군을 가른다. 답할 수 없는 범위면 여기서 한계를 고지하고 끝낸다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 w:line="247" w:lineRule="auto"/>
            </w:pPr>
            <w:r>
              <w:rPr>
                <w:rFonts w:ascii="맑은 고딕" w:hAnsi="맑은 고딕" w:eastAsia="맑은 고딕"/>
                <w:b w:val="0"/>
                <w:sz w:val="15"/>
              </w:rPr>
              <w:t>0회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0" w:before="0" w:line="247" w:lineRule="auto"/>
            </w:pPr>
            <w:r>
              <w:rPr>
                <w:rFonts w:ascii="맑은 고딕" w:hAnsi="맑은 고딕" w:eastAsia="맑은 고딕"/>
                <w:b w:val="0"/>
                <w:sz w:val="15"/>
              </w:rPr>
              <w:t>B 검색·도구</w:t>
            </w:r>
          </w:p>
        </w:tc>
        <w:tc>
          <w:tcPr>
            <w:tcW w:type="dxa" w:w="7427"/>
            <w:vAlign w:val="center"/>
          </w:tcPr>
          <w:p>
            <w:pPr>
              <w:spacing w:after="0" w:before="0" w:line="247" w:lineRule="auto"/>
            </w:pPr>
            <w:r>
              <w:rPr>
                <w:rFonts w:ascii="맑은 고딕" w:hAnsi="맑은 고딕" w:eastAsia="맑은 고딕"/>
                <w:b w:val="0"/>
                <w:sz w:val="15"/>
              </w:rPr>
              <w:t>메타 프리필터 → BM25 hop 사다리 → 충분성 판정 → 정정체인·거래상대 hop. 계산은 전용 도구 7종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 w:line="247" w:lineRule="auto"/>
            </w:pPr>
            <w:r>
              <w:rPr>
                <w:rFonts w:ascii="맑은 고딕" w:hAnsi="맑은 고딕" w:eastAsia="맑은 고딕"/>
                <w:b w:val="0"/>
                <w:sz w:val="15"/>
              </w:rPr>
              <w:t>0회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0" w:before="0" w:line="247" w:lineRule="auto"/>
            </w:pPr>
            <w:r>
              <w:rPr>
                <w:rFonts w:ascii="맑은 고딕" w:hAnsi="맑은 고딕" w:eastAsia="맑은 고딕"/>
                <w:b w:val="0"/>
                <w:sz w:val="15"/>
              </w:rPr>
              <w:t>C 생성·검증</w:t>
            </w:r>
          </w:p>
        </w:tc>
        <w:tc>
          <w:tcPr>
            <w:tcW w:type="dxa" w:w="7427"/>
            <w:vAlign w:val="center"/>
          </w:tcPr>
          <w:p>
            <w:pPr>
              <w:spacing w:after="0" w:before="0" w:line="247" w:lineRule="auto"/>
            </w:pPr>
            <w:r>
              <w:rPr>
                <w:rFonts w:ascii="맑은 고딕" w:hAnsi="맑은 고딕" w:eastAsia="맑은 고딕"/>
                <w:b w:val="0"/>
                <w:sz w:val="15"/>
              </w:rPr>
              <w:t>근거만으로 답을 생성하고 인용이 빠지면 검사를 한 번 더 부른다. 결정적 검증 3종이 수치를 근거와 재대조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 w:line="247" w:lineRule="auto"/>
            </w:pPr>
            <w:r>
              <w:rPr>
                <w:rFonts w:ascii="맑은 고딕" w:hAnsi="맑은 고딕" w:eastAsia="맑은 고딕"/>
                <w:b w:val="0"/>
                <w:sz w:val="15"/>
              </w:rPr>
              <w:t>최대 3회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0" w:before="0" w:line="247" w:lineRule="auto"/>
            </w:pPr>
            <w:r>
              <w:rPr>
                <w:rFonts w:ascii="맑은 고딕" w:hAnsi="맑은 고딕" w:eastAsia="맑은 고딕"/>
                <w:b w:val="0"/>
                <w:sz w:val="15"/>
              </w:rPr>
              <w:t>D 가드·계기판</w:t>
            </w:r>
          </w:p>
        </w:tc>
        <w:tc>
          <w:tcPr>
            <w:tcW w:type="dxa" w:w="7427"/>
            <w:vAlign w:val="center"/>
          </w:tcPr>
          <w:p>
            <w:pPr>
              <w:spacing w:after="0" w:before="0" w:line="247" w:lineRule="auto"/>
            </w:pPr>
            <w:r>
              <w:rPr>
                <w:rFonts w:ascii="맑은 고딕" w:hAnsi="맑은 고딕" w:eastAsia="맑은 고딕"/>
                <w:b w:val="0"/>
                <w:sz w:val="15"/>
              </w:rPr>
              <w:t>예산 가드(스텝·hop·호출 상한), 예외 응답 규격, 안전성 축, 실행 계기판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 w:line="247" w:lineRule="auto"/>
            </w:pPr>
            <w:r>
              <w:rPr>
                <w:rFonts w:ascii="맑은 고딕" w:hAnsi="맑은 고딕" w:eastAsia="맑은 고딕"/>
                <w:b w:val="0"/>
                <w:sz w:val="15"/>
              </w:rPr>
              <w:t>0회</w:t>
            </w:r>
          </w:p>
        </w:tc>
      </w:tr>
    </w:tbl>
    <w:p>
      <w:pPr>
        <w:spacing w:after="20" w:before="0" w:line="252" w:lineRule="auto"/>
      </w:pPr>
    </w:p>
    <w:p>
      <w:pPr>
        <w:spacing w:after="10" w:line="252" w:lineRule="auto"/>
        <w:ind w:left="181"/>
      </w:pPr>
      <w:r>
        <w:rPr>
          <w:rFonts w:ascii="맑은 고딕" w:hAnsi="맑은 고딕" w:eastAsia="맑은 고딕"/>
          <w:b w:val="0"/>
          <w:sz w:val="17"/>
        </w:rPr>
        <w:t>· 질문당 LLM 호출 상한 6회를 코드에 못박아 비용 상한이 계산 가능하다 — 대화형 다중 에이전트를 쓰지 않은 이유가 이것이다. 열람 서비스는 빌드 시점에 JSON 을 만들고 런타임에는 모델을 부르지 않아, 엔진과 서비스가 같은 원천을 읽되 서로의 장애가 전파되지 않는다.</w:t>
      </w:r>
    </w:p>
    <w:p>
      <w:pPr>
        <w:spacing w:after="20" w:before="60" w:line="252" w:lineRule="auto"/>
      </w:pPr>
      <w:r>
        <w:rPr>
          <w:rFonts w:ascii="맑은 고딕" w:hAnsi="맑은 고딕" w:eastAsia="맑은 고딕"/>
          <w:b/>
          <w:sz w:val="18"/>
        </w:rPr>
        <w:t>■ 추진 마일스톤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4"/>
        <w:gridCol w:w="2438"/>
        <w:gridCol w:w="2438"/>
        <w:gridCol w:w="2211"/>
        <w:gridCol w:w="1814"/>
      </w:tblGrid>
      <w:tr>
        <w:tc>
          <w:tcPr>
            <w:tcW w:type="dxa" w:w="964"/>
            <w:vAlign w:val="center"/>
            <w:shd w:val="clear" w:fill="D9E2F3"/>
          </w:tcPr>
          <w:p>
            <w:pPr>
              <w:spacing w:after="0" w:before="0" w:line="247" w:lineRule="auto"/>
              <w:jc w:val="center"/>
            </w:pPr>
            <w:r>
              <w:rPr>
                <w:rFonts w:ascii="맑은 고딕" w:hAnsi="맑은 고딕" w:eastAsia="맑은 고딕"/>
                <w:b/>
                <w:sz w:val="15"/>
              </w:rPr>
              <w:t>구분</w:t>
            </w:r>
          </w:p>
        </w:tc>
        <w:tc>
          <w:tcPr>
            <w:tcW w:type="dxa" w:w="2438"/>
            <w:vAlign w:val="center"/>
            <w:shd w:val="clear" w:fill="D9E2F3"/>
          </w:tcPr>
          <w:p>
            <w:pPr>
              <w:spacing w:after="0" w:before="0" w:line="247" w:lineRule="auto"/>
              <w:jc w:val="center"/>
            </w:pPr>
            <w:r>
              <w:rPr>
                <w:rFonts w:ascii="맑은 고딕" w:hAnsi="맑은 고딕" w:eastAsia="맑은 고딕"/>
                <w:b/>
                <w:sz w:val="15"/>
              </w:rPr>
              <w:t>7월 말~8월 초</w:t>
            </w:r>
          </w:p>
        </w:tc>
        <w:tc>
          <w:tcPr>
            <w:tcW w:type="dxa" w:w="2438"/>
            <w:vAlign w:val="center"/>
            <w:shd w:val="clear" w:fill="D9E2F3"/>
          </w:tcPr>
          <w:p>
            <w:pPr>
              <w:spacing w:after="0" w:before="0" w:line="247" w:lineRule="auto"/>
              <w:jc w:val="center"/>
            </w:pPr>
            <w:r>
              <w:rPr>
                <w:rFonts w:ascii="맑은 고딕" w:hAnsi="맑은 고딕" w:eastAsia="맑은 고딕"/>
                <w:b/>
                <w:sz w:val="15"/>
              </w:rPr>
              <w:t>8월 중순</w:t>
            </w:r>
          </w:p>
        </w:tc>
        <w:tc>
          <w:tcPr>
            <w:tcW w:type="dxa" w:w="2211"/>
            <w:vAlign w:val="center"/>
            <w:shd w:val="clear" w:fill="D9E2F3"/>
          </w:tcPr>
          <w:p>
            <w:pPr>
              <w:spacing w:after="0" w:before="0" w:line="247" w:lineRule="auto"/>
              <w:jc w:val="center"/>
            </w:pPr>
            <w:r>
              <w:rPr>
                <w:rFonts w:ascii="맑은 고딕" w:hAnsi="맑은 고딕" w:eastAsia="맑은 고딕"/>
                <w:b/>
                <w:sz w:val="15"/>
              </w:rPr>
              <w:t>8월 하순</w:t>
            </w:r>
          </w:p>
        </w:tc>
        <w:tc>
          <w:tcPr>
            <w:tcW w:type="dxa" w:w="1814"/>
            <w:vAlign w:val="center"/>
            <w:shd w:val="clear" w:fill="D9E2F3"/>
          </w:tcPr>
          <w:p>
            <w:pPr>
              <w:spacing w:after="0" w:before="0" w:line="247" w:lineRule="auto"/>
              <w:jc w:val="center"/>
            </w:pPr>
            <w:r>
              <w:rPr>
                <w:rFonts w:ascii="맑은 고딕" w:hAnsi="맑은 고딕" w:eastAsia="맑은 고딕"/>
                <w:b/>
                <w:sz w:val="15"/>
              </w:rPr>
              <w:t>9월 초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 w:before="0" w:line="247" w:lineRule="auto"/>
            </w:pPr>
            <w:r>
              <w:rPr>
                <w:rFonts w:ascii="맑은 고딕" w:hAnsi="맑은 고딕" w:eastAsia="맑은 고딕"/>
                <w:b w:val="0"/>
                <w:sz w:val="15"/>
              </w:rPr>
              <w:t>엔진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 w:line="247" w:lineRule="auto"/>
            </w:pPr>
            <w:r>
              <w:rPr>
                <w:rFonts w:ascii="맑은 고딕" w:hAnsi="맑은 고딕" w:eastAsia="맑은 고딕"/>
                <w:b w:val="0"/>
                <w:sz w:val="15"/>
              </w:rPr>
              <w:t>코퍼스 프로파일링 · 골든셋 구축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 w:line="247" w:lineRule="auto"/>
            </w:pPr>
            <w:r>
              <w:rPr>
                <w:rFonts w:ascii="맑은 고딕" w:hAnsi="맑은 고딕" w:eastAsia="맑은 고딕"/>
                <w:b w:val="0"/>
                <w:sz w:val="15"/>
              </w:rPr>
              <w:t>사다리·LOO 측정 · 베이스라인 확정</w:t>
            </w:r>
          </w:p>
        </w:tc>
        <w:tc>
          <w:tcPr>
            <w:tcW w:type="dxa" w:w="2211"/>
            <w:vAlign w:val="center"/>
          </w:tcPr>
          <w:p>
            <w:pPr>
              <w:spacing w:after="0" w:before="0" w:line="247" w:lineRule="auto"/>
            </w:pPr>
            <w:r>
              <w:rPr>
                <w:rFonts w:ascii="맑은 고딕" w:hAnsi="맑은 고딕" w:eastAsia="맑은 고딕"/>
                <w:b w:val="0"/>
                <w:sz w:val="15"/>
              </w:rPr>
              <w:t>안전성 축 보강 · 재채점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47" w:lineRule="auto"/>
            </w:pPr>
            <w:r>
              <w:rPr>
                <w:rFonts w:ascii="맑은 고딕" w:hAnsi="맑은 고딕" w:eastAsia="맑은 고딕"/>
                <w:b w:val="0"/>
                <w:sz w:val="15"/>
              </w:rPr>
              <w:t>동결 · 일반화 측정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 w:before="0" w:line="247" w:lineRule="auto"/>
            </w:pPr>
            <w:r>
              <w:rPr>
                <w:rFonts w:ascii="맑은 고딕" w:hAnsi="맑은 고딕" w:eastAsia="맑은 고딕"/>
                <w:b w:val="0"/>
                <w:sz w:val="15"/>
              </w:rPr>
              <w:t>서비스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 w:line="247" w:lineRule="auto"/>
            </w:pPr>
            <w:r>
              <w:rPr>
                <w:rFonts w:ascii="맑은 고딕" w:hAnsi="맑은 고딕" w:eastAsia="맑은 고딕"/>
                <w:b w:val="0"/>
                <w:sz w:val="15"/>
              </w:rPr>
              <w:t>화면 목적 정의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 w:line="247" w:lineRule="auto"/>
            </w:pPr>
            <w:r>
              <w:rPr>
                <w:rFonts w:ascii="맑은 고딕" w:hAnsi="맑은 고딕" w:eastAsia="맑은 고딕"/>
                <w:b w:val="0"/>
                <w:sz w:val="15"/>
              </w:rPr>
              <w:t>데이터 파이프라인 · 화면 구현</w:t>
            </w:r>
          </w:p>
        </w:tc>
        <w:tc>
          <w:tcPr>
            <w:tcW w:type="dxa" w:w="2211"/>
            <w:vAlign w:val="center"/>
          </w:tcPr>
          <w:p>
            <w:pPr>
              <w:spacing w:after="0" w:before="0" w:line="247" w:lineRule="auto"/>
            </w:pPr>
            <w:r>
              <w:rPr>
                <w:rFonts w:ascii="맑은 고딕" w:hAnsi="맑은 고딕" w:eastAsia="맑은 고딕"/>
                <w:b w:val="0"/>
                <w:sz w:val="15"/>
              </w:rPr>
              <w:t>한계 고지 체계 · 정적 export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47" w:lineRule="auto"/>
            </w:pPr>
            <w:r>
              <w:rPr>
                <w:rFonts w:ascii="맑은 고딕" w:hAnsi="맑은 고딕" w:eastAsia="맑은 고딕"/>
                <w:b w:val="0"/>
                <w:sz w:val="15"/>
              </w:rPr>
              <w:t>배포 · 무중단 점검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 w:before="0" w:line="247" w:lineRule="auto"/>
            </w:pPr>
            <w:r>
              <w:rPr>
                <w:rFonts w:ascii="맑은 고딕" w:hAnsi="맑은 고딕" w:eastAsia="맑은 고딕"/>
                <w:b w:val="0"/>
                <w:sz w:val="15"/>
              </w:rPr>
              <w:t>산출물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 w:line="247" w:lineRule="auto"/>
            </w:pPr>
            <w:r>
              <w:rPr>
                <w:rFonts w:ascii="맑은 고딕" w:hAnsi="맑은 고딕" w:eastAsia="맑은 고딕"/>
                <w:b w:val="0"/>
                <w:sz w:val="15"/>
              </w:rPr>
              <w:t>데이터 프로파일 · 평가셋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 w:line="247" w:lineRule="auto"/>
            </w:pPr>
            <w:r>
              <w:rPr>
                <w:rFonts w:ascii="맑은 고딕" w:hAnsi="맑은 고딕" w:eastAsia="맑은 고딕"/>
                <w:b w:val="0"/>
                <w:sz w:val="15"/>
              </w:rPr>
              <w:t>기여도 곡선 · LOO 표</w:t>
            </w:r>
          </w:p>
        </w:tc>
        <w:tc>
          <w:tcPr>
            <w:tcW w:type="dxa" w:w="2211"/>
            <w:vAlign w:val="center"/>
          </w:tcPr>
          <w:p>
            <w:pPr>
              <w:spacing w:after="0" w:before="0" w:line="247" w:lineRule="auto"/>
            </w:pPr>
            <w:r>
              <w:rPr>
                <w:rFonts w:ascii="맑은 고딕" w:hAnsi="맑은 고딕" w:eastAsia="맑은 고딕"/>
                <w:b w:val="0"/>
                <w:sz w:val="15"/>
              </w:rPr>
              <w:t>사이트 · 엔드포인트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47" w:lineRule="auto"/>
            </w:pPr>
            <w:r>
              <w:rPr>
                <w:rFonts w:ascii="맑은 고딕" w:hAnsi="맑은 고딕" w:eastAsia="맑은 고딕"/>
                <w:b w:val="0"/>
                <w:sz w:val="15"/>
              </w:rPr>
              <w:t>제안서 · 최종 제출</w:t>
            </w:r>
          </w:p>
        </w:tc>
      </w:tr>
    </w:tbl>
    <w:p>
      <w:pPr>
        <w:spacing w:after="20" w:before="0" w:line="252" w:lineRule="auto"/>
      </w:pPr>
    </w:p>
    <w:p>
      <w:pPr>
        <w:spacing w:after="10" w:line="252" w:lineRule="auto"/>
        <w:ind w:left="181"/>
      </w:pPr>
      <w:r>
        <w:rPr>
          <w:rFonts w:ascii="맑은 고딕" w:hAnsi="맑은 고딕" w:eastAsia="맑은 고딕"/>
          <w:b w:val="0"/>
          <w:sz w:val="17"/>
        </w:rPr>
        <w:t>· 측정이 계획을 여러 번 뒤집었고 뒤집힌 이력을 지우지 않고 남겼다. 이전 판의 수치를 덮어쓰지 않고 나란히 보관하는 것을 규율로 삼았다.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9"/>
        <w:gridCol w:w="9326"/>
      </w:tblGrid>
      <w:tr>
        <w:tc>
          <w:tcPr>
            <w:tcW w:type="dxa" w:w="539"/>
            <w:vAlign w:val="center"/>
            <w:shd w:val="clear" w:fill="1F3864"/>
          </w:tcPr>
          <w:p>
            <w:pPr>
              <w:spacing w:after="0" w:before="0" w:line="24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6"/>
              </w:rPr>
              <w:t>4</w:t>
            </w:r>
          </w:p>
        </w:tc>
        <w:tc>
          <w:tcPr>
            <w:tcW w:type="dxa" w:w="9326"/>
            <w:vAlign w:val="center"/>
            <w:shd w:val="clear" w:fill="D9E2F3"/>
          </w:tcPr>
          <w:p>
            <w:pPr>
              <w:spacing w:after="0" w:before="0" w:line="247" w:lineRule="auto"/>
            </w:pPr>
            <w:r>
              <w:rPr>
                <w:rFonts w:ascii="맑은 고딕" w:hAnsi="맑은 고딕" w:eastAsia="맑은 고딕"/>
                <w:b/>
                <w:sz w:val="21"/>
              </w:rPr>
              <w:t>연구개발과제의 활용방안 및 사업성</w:t>
            </w:r>
          </w:p>
        </w:tc>
      </w:tr>
    </w:tbl>
    <w:p>
      <w:pPr>
        <w:spacing w:after="20" w:before="0" w:line="252" w:lineRule="auto"/>
      </w:pPr>
    </w:p>
    <w:p>
      <w:pPr>
        <w:spacing w:after="20" w:before="60" w:line="252" w:lineRule="auto"/>
      </w:pPr>
      <w:r>
        <w:rPr>
          <w:rFonts w:ascii="맑은 고딕" w:hAnsi="맑은 고딕" w:eastAsia="맑은 고딕"/>
          <w:b/>
          <w:sz w:val="18"/>
        </w:rPr>
        <w:t>■ 활용방안</w:t>
      </w:r>
    </w:p>
    <w:p>
      <w:pPr>
        <w:spacing w:after="20" w:line="252" w:lineRule="auto"/>
      </w:pPr>
      <w:r>
        <w:rPr>
          <w:rFonts w:ascii="맑은 고딕" w:hAnsi="맑은 고딕" w:eastAsia="맑은 고딕"/>
          <w:b/>
          <w:sz w:val="17"/>
        </w:rPr>
        <w:t xml:space="preserve">[활용 분야] </w:t>
      </w:r>
      <w:r>
        <w:rPr>
          <w:rFonts w:ascii="맑은 고딕" w:hAnsi="맑은 고딕" w:eastAsia="맑은 고딕"/>
          <w:b w:val="0"/>
          <w:sz w:val="17"/>
        </w:rPr>
        <w:t>증권사 리서치(기업 동향 확인), 회계법인·감사(정정 이력 추적), 상장사 IR(자사 공시 이력 점검), 기관 준법감시(거래상대 관계 확인)에서 지금 수작업으로 하는 대조를 대체한다. 화면은 무료 공개하고 엔진 API 를 결합 상품으로 두는 구성이 가능하다.</w:t>
      </w:r>
    </w:p>
    <w:p>
      <w:pPr>
        <w:spacing w:after="20" w:line="252" w:lineRule="auto"/>
      </w:pPr>
      <w:r>
        <w:rPr>
          <w:rFonts w:ascii="맑은 고딕" w:hAnsi="맑은 고딕" w:eastAsia="맑은 고딕"/>
          <w:b/>
          <w:sz w:val="17"/>
        </w:rPr>
        <w:t xml:space="preserve">[확장 경로] </w:t>
      </w:r>
      <w:r>
        <w:rPr>
          <w:rFonts w:ascii="맑은 고딕" w:hAnsi="맑은 고딕" w:eastAsia="맑은 고딕"/>
          <w:b w:val="0"/>
          <w:sz w:val="17"/>
        </w:rPr>
        <w:t>① 코퍼스 확대 — 현재 상장사 70곳·3년치이며 같은 파이프라인으로 전체 상장사·전체 기간으로 넓힐 수 있다. 추출이 규칙 기반이라 확대 비용이 문서 수에 선형이다. ② 관계 축 확대 — 발주처 외에 지분·계열 관계를 같은 방식으로 노드화한다. ③ 업무 시스템 결합 — 고정 스키마 API 라 화면 없이 엔진만 결합 가능하다.</w:t>
      </w:r>
    </w:p>
    <w:p>
      <w:pPr>
        <w:spacing w:after="20" w:before="60" w:line="252" w:lineRule="auto"/>
      </w:pPr>
      <w:r>
        <w:rPr>
          <w:rFonts w:ascii="맑은 고딕" w:hAnsi="맑은 고딕" w:eastAsia="맑은 고딕"/>
          <w:b/>
          <w:sz w:val="18"/>
        </w:rPr>
        <w:t>■ 사업성</w:t>
      </w:r>
    </w:p>
    <w:p>
      <w:pPr>
        <w:spacing w:after="20" w:line="252" w:lineRule="auto"/>
      </w:pPr>
      <w:r>
        <w:rPr>
          <w:rFonts w:ascii="맑은 고딕" w:hAnsi="맑은 고딕" w:eastAsia="맑은 고딕"/>
          <w:b/>
          <w:sz w:val="17"/>
        </w:rPr>
        <w:t xml:space="preserve">[비용 구조] </w:t>
      </w:r>
      <w:r>
        <w:rPr>
          <w:rFonts w:ascii="맑은 고딕" w:hAnsi="맑은 고딕" w:eastAsia="맑은 고딕"/>
          <w:b w:val="0"/>
          <w:sz w:val="17"/>
        </w:rPr>
        <w:t xml:space="preserve">열람 서비스는 정적 파일이라 서버·DB 운영비가 들지 않는다. 엔진은 질문당 호출 상한이 6회로 고정되어 질의량 대비 비용이 선형이고 예측 가능하다. 전 개발 기간 토큰 실지출이 </w:t>
      </w:r>
      <w:r>
        <w:rPr>
          <w:rFonts w:ascii="맑은 고딕" w:hAnsi="맑은 고딕" w:eastAsia="맑은 고딕"/>
          <w:b/>
          <w:sz w:val="17"/>
        </w:rPr>
        <w:t>12,271원</w:t>
      </w:r>
      <w:r>
        <w:rPr>
          <w:rFonts w:ascii="맑은 고딕" w:hAnsi="맑은 고딕" w:eastAsia="맑은 고딕"/>
          <w:b w:val="0"/>
          <w:sz w:val="17"/>
        </w:rPr>
        <w:t>이었다는 점이 이 구조의 경제성을 보여 준다.</w:t>
      </w:r>
    </w:p>
    <w:p>
      <w:pPr>
        <w:spacing w:after="20" w:line="252" w:lineRule="auto"/>
      </w:pPr>
      <w:r>
        <w:rPr>
          <w:rFonts w:ascii="맑은 고딕" w:hAnsi="맑은 고딕" w:eastAsia="맑은 고딕"/>
          <w:b/>
          <w:sz w:val="17"/>
        </w:rPr>
        <w:t xml:space="preserve">[진입 장벽] </w:t>
      </w:r>
      <w:r>
        <w:rPr>
          <w:rFonts w:ascii="맑은 고딕" w:hAnsi="맑은 고딕" w:eastAsia="맑은 고딕"/>
          <w:b w:val="0"/>
          <w:sz w:val="17"/>
        </w:rPr>
        <w:t xml:space="preserve">경쟁 요소는 모델이 아니라 </w:t>
      </w:r>
      <w:r>
        <w:rPr>
          <w:rFonts w:ascii="맑은 고딕" w:hAnsi="맑은 고딕" w:eastAsia="맑은 고딕"/>
          <w:b/>
          <w:sz w:val="17"/>
        </w:rPr>
        <w:t>정규화와 관계 복원의 품질</w:t>
      </w:r>
      <w:r>
        <w:rPr>
          <w:rFonts w:ascii="맑은 고딕" w:hAnsi="맑은 고딕" w:eastAsia="맑은 고딕"/>
          <w:b w:val="0"/>
          <w:sz w:val="17"/>
        </w:rPr>
        <w:t>이다. 정정 체인 복원, 거래상대 정규화, 목차 기반 섹션 색인은 코퍼스를 직접 재면서 쌓인 규칙이며 모델을 바꿔도 그대로 남는다. 측정 후 기각한 설계 선택들 자체가 재현하기 어려운 자산이다.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9"/>
        <w:gridCol w:w="9326"/>
      </w:tblGrid>
      <w:tr>
        <w:tc>
          <w:tcPr>
            <w:tcW w:type="dxa" w:w="539"/>
            <w:vAlign w:val="center"/>
            <w:shd w:val="clear" w:fill="1F3864"/>
          </w:tcPr>
          <w:p>
            <w:pPr>
              <w:spacing w:after="0" w:before="0" w:line="24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6"/>
              </w:rPr>
              <w:t>5</w:t>
            </w:r>
          </w:p>
        </w:tc>
        <w:tc>
          <w:tcPr>
            <w:tcW w:type="dxa" w:w="9326"/>
            <w:vAlign w:val="center"/>
            <w:shd w:val="clear" w:fill="D9E2F3"/>
          </w:tcPr>
          <w:p>
            <w:pPr>
              <w:spacing w:after="0" w:before="0" w:line="247" w:lineRule="auto"/>
            </w:pPr>
            <w:r>
              <w:rPr>
                <w:rFonts w:ascii="맑은 고딕" w:hAnsi="맑은 고딕" w:eastAsia="맑은 고딕"/>
                <w:b/>
                <w:sz w:val="21"/>
              </w:rPr>
              <w:t>연구자의 연구수행 역량</w:t>
            </w:r>
          </w:p>
        </w:tc>
      </w:tr>
    </w:tbl>
    <w:p>
      <w:pPr>
        <w:spacing w:after="20" w:before="0" w:line="252" w:lineRule="auto"/>
      </w:pPr>
    </w:p>
    <w:p>
      <w:pPr>
        <w:spacing w:after="20" w:before="60" w:line="252" w:lineRule="auto"/>
      </w:pPr>
      <w:r>
        <w:rPr>
          <w:rFonts w:ascii="맑은 고딕" w:hAnsi="맑은 고딕" w:eastAsia="맑은 고딕"/>
          <w:b/>
          <w:sz w:val="18"/>
        </w:rPr>
        <w:t>■ 김주환 (한양대학교 산업공학과)</w:t>
      </w:r>
    </w:p>
    <w:p>
      <w:pPr>
        <w:spacing w:after="10" w:line="252" w:lineRule="auto"/>
        <w:ind w:left="181"/>
      </w:pPr>
      <w:r>
        <w:rPr>
          <w:rFonts w:ascii="맑은 고딕" w:hAnsi="맑은 고딕" w:eastAsia="맑은 고딕"/>
          <w:b w:val="0"/>
          <w:sz w:val="17"/>
        </w:rPr>
        <w:t>· 본 과제의 데이터 분석·엔진 설계·서비스 구현·평가 설계를 단독 수행. 코퍼스 프로파일링에서 배포까지 전 구간을 담당했다.</w:t>
      </w:r>
    </w:p>
    <w:p>
      <w:pPr>
        <w:spacing w:after="10" w:line="252" w:lineRule="auto"/>
        <w:ind w:left="181"/>
      </w:pPr>
      <w:r>
        <w:rPr>
          <w:rFonts w:ascii="맑은 고딕" w:hAnsi="맑은 고딕" w:eastAsia="맑은 고딕"/>
          <w:b w:val="0"/>
          <w:sz w:val="17"/>
        </w:rPr>
        <w:t>· 측정 우선 원칙을 규율로 적용 — 통용되는 설계 전제(그래프 기반 검색, 임베딩 하이브리드)를 코퍼스에서 직접 재어 기각하고 그 근거 수치를 문서에 남겼다.</w:t>
      </w:r>
    </w:p>
    <w:p>
      <w:pPr>
        <w:spacing w:after="10" w:line="252" w:lineRule="auto"/>
        <w:ind w:left="181"/>
      </w:pPr>
      <w:r>
        <w:rPr>
          <w:rFonts w:ascii="맑은 고딕" w:hAnsi="맑은 고딕" w:eastAsia="맑은 고딕"/>
          <w:b w:val="0"/>
          <w:sz w:val="17"/>
        </w:rPr>
        <w:t>· 재현 가능성 확보 — 평가 하네스와 산출물 재생성 경로를 코드로 고정했고, 최종 구성 검증용 문항은 사용 이력을 원장으로 관리해 중복 사용을 코드가 거부하도록 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9"/>
        <w:gridCol w:w="9326"/>
      </w:tblGrid>
      <w:tr>
        <w:tc>
          <w:tcPr>
            <w:tcW w:type="dxa" w:w="539"/>
            <w:vAlign w:val="center"/>
            <w:shd w:val="clear" w:fill="1F3864"/>
          </w:tcPr>
          <w:p>
            <w:pPr>
              <w:spacing w:after="0" w:before="0" w:line="24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6"/>
              </w:rPr>
              <w:t>6</w:t>
            </w:r>
          </w:p>
        </w:tc>
        <w:tc>
          <w:tcPr>
            <w:tcW w:type="dxa" w:w="9326"/>
            <w:vAlign w:val="center"/>
            <w:shd w:val="clear" w:fill="D9E2F3"/>
          </w:tcPr>
          <w:p>
            <w:pPr>
              <w:spacing w:after="0" w:before="0" w:line="247" w:lineRule="auto"/>
            </w:pPr>
            <w:r>
              <w:rPr>
                <w:rFonts w:ascii="맑은 고딕" w:hAnsi="맑은 고딕" w:eastAsia="맑은 고딕"/>
                <w:b/>
                <w:sz w:val="21"/>
              </w:rPr>
              <w:t>기타</w:t>
            </w:r>
          </w:p>
        </w:tc>
      </w:tr>
    </w:tbl>
    <w:p>
      <w:pPr>
        <w:spacing w:after="20" w:before="0" w:line="252" w:lineRule="auto"/>
      </w:pPr>
    </w:p>
    <w:p>
      <w:pPr>
        <w:spacing w:after="20" w:before="60" w:line="252" w:lineRule="auto"/>
      </w:pPr>
      <w:r>
        <w:rPr>
          <w:rFonts w:ascii="맑은 고딕" w:hAnsi="맑은 고딕" w:eastAsia="맑은 고딕"/>
          <w:b/>
          <w:sz w:val="18"/>
        </w:rPr>
        <w:t>■ 한계 — 서비스가 스스로 밝히는 것</w:t>
      </w:r>
    </w:p>
    <w:p>
      <w:pPr>
        <w:spacing w:after="10" w:line="252" w:lineRule="auto"/>
        <w:ind w:left="181"/>
      </w:pPr>
      <w:r>
        <w:rPr>
          <w:rFonts w:ascii="맑은 고딕" w:hAnsi="맑은 고딕" w:eastAsia="맑은 고딕"/>
          <w:b w:val="0"/>
          <w:sz w:val="17"/>
        </w:rPr>
        <w:t>· 코퍼스가 고정되어 있다. 사이트는 새 공시를 스스로 받아 오지 않으며 대상은 상장사 70곳 · 2023.01~2026.03 이다. 이 사실을 소개 화면에 명시했다.</w:t>
      </w:r>
    </w:p>
    <w:p>
      <w:pPr>
        <w:spacing w:after="10" w:line="252" w:lineRule="auto"/>
        <w:ind w:left="181"/>
      </w:pPr>
      <w:r>
        <w:rPr>
          <w:rFonts w:ascii="맑은 고딕" w:hAnsi="맑은 고딕" w:eastAsia="맑은 고딕"/>
          <w:b w:val="0"/>
          <w:sz w:val="17"/>
        </w:rPr>
        <w:t>· 정정 631건 중 309건은 원공시가 코퍼스 밖이라 추적되지 않는다. 감추지 않고 사유와 함께 표시한다. 재무 요약은 70곳 중 50곳만 제공한다 — 기간을 모르는 매출액은 뜻이 없다.</w:t>
      </w:r>
    </w:p>
    <w:p>
      <w:pPr>
        <w:spacing w:after="10" w:line="252" w:lineRule="auto"/>
        <w:ind w:left="181"/>
      </w:pPr>
      <w:r>
        <w:rPr>
          <w:rFonts w:ascii="맑은 고딕" w:hAnsi="맑은 고딕" w:eastAsia="맑은 고딕"/>
          <w:b w:val="0"/>
          <w:sz w:val="17"/>
        </w:rPr>
        <w:t>· 공시유보 계약 66건, 금액 항목이 없는 서식 166건 등은 원본에 값이 없다. 이런 질의는 지어내지 않고 거절하며 거절이 정답인 트랙으로 따로 채점한다.</w:t>
      </w:r>
    </w:p>
    <w:p>
      <w:pPr>
        <w:spacing w:after="20" w:before="60" w:line="252" w:lineRule="auto"/>
      </w:pPr>
      <w:r>
        <w:rPr>
          <w:rFonts w:ascii="맑은 고딕" w:hAnsi="맑은 고딕" w:eastAsia="맑은 고딕"/>
          <w:b/>
          <w:sz w:val="18"/>
        </w:rPr>
        <w:t>■ 향후 과제</w:t>
      </w:r>
    </w:p>
    <w:p>
      <w:pPr>
        <w:spacing w:after="10" w:line="252" w:lineRule="auto"/>
        <w:ind w:left="181"/>
      </w:pPr>
      <w:r>
        <w:rPr>
          <w:rFonts w:ascii="맑은 고딕" w:hAnsi="맑은 고딕" w:eastAsia="맑은 고딕"/>
          <w:b w:val="0"/>
          <w:sz w:val="17"/>
        </w:rPr>
        <w:t>· 코퍼스 확대와 자동 갱신 파이프라인 연결 · 정정 체인 복원율 개선(해지–원계약 등 아직 잇지 못한 관계 유형) · 지분·계열 관계의 노드화</w:t>
      </w:r>
    </w:p>
    <w:sectPr w:rsidR="00FC693F" w:rsidRPr="0006063C" w:rsidSect="00034616">
      <w:pgSz w:w="12240" w:h="15840"/>
      <w:pgMar w:top="737" w:right="1020" w:bottom="62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