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PingFang SC"/>
          <w:b/>
          <w:color w:val="5C6670"/>
          <w:sz w:val="22"/>
        </w:rPr>
        <w:t>方案文档</w:t>
      </w:r>
    </w:p>
    <w:p>
      <w:pPr>
        <w:spacing w:after="80" w:line="252" w:lineRule="auto"/>
      </w:pPr>
      <w:r>
        <w:rPr>
          <w:rFonts w:ascii="Calibri" w:hAnsi="Calibri" w:eastAsia="PingFang SC"/>
          <w:b/>
          <w:color w:val="000000"/>
          <w:sz w:val="48"/>
        </w:rPr>
        <w:t>智能客服与客户运营中台完整方案</w:t>
      </w:r>
    </w:p>
    <w:p>
      <w:pPr>
        <w:spacing w:after="360"/>
      </w:pPr>
      <w:r>
        <w:rPr>
          <w:rFonts w:ascii="Calibri" w:hAnsi="Calibri" w:eastAsia="PingFang SC"/>
          <w:color w:val="5C6670"/>
          <w:sz w:val="26"/>
        </w:rPr>
        <w:t>从立项背景到产品体系、业务链路、系统协作与实施优先级</w:t>
      </w:r>
    </w:p>
    <w:p>
      <w:pPr>
        <w:spacing w:after="60"/>
      </w:pPr>
      <w:r>
        <w:rPr>
          <w:rFonts w:ascii="Calibri" w:hAnsi="Calibri" w:eastAsia="PingFang SC"/>
          <w:b/>
          <w:color w:val="1F2937"/>
          <w:sz w:val="21"/>
        </w:rPr>
        <w:t>适用团队：</w:t>
      </w:r>
      <w:r>
        <w:rPr>
          <w:rFonts w:ascii="Calibri" w:hAnsi="Calibri" w:eastAsia="PingFang SC"/>
          <w:color w:val="1F2937"/>
          <w:sz w:val="21"/>
        </w:rPr>
        <w:t>电销团队、销售团队、私域团队、客服/售后、运营管理团队</w:t>
      </w:r>
    </w:p>
    <w:p>
      <w:pPr>
        <w:spacing w:after="60"/>
      </w:pPr>
      <w:r>
        <w:rPr>
          <w:rFonts w:ascii="Calibri" w:hAnsi="Calibri" w:eastAsia="PingFang SC"/>
          <w:b/>
          <w:color w:val="1F2937"/>
          <w:sz w:val="21"/>
        </w:rPr>
        <w:t>方案范围：</w:t>
      </w:r>
      <w:r>
        <w:rPr>
          <w:rFonts w:ascii="Calibri" w:hAnsi="Calibri" w:eastAsia="PingFang SC"/>
          <w:color w:val="1F2937"/>
          <w:sz w:val="21"/>
        </w:rPr>
        <w:t>客户筛选、企微承接、会员卡销售、VIP群维护、报价订阅、客户档案沉淀</w:t>
      </w:r>
    </w:p>
    <w:p>
      <w:pPr>
        <w:spacing w:after="60"/>
      </w:pPr>
      <w:r>
        <w:rPr>
          <w:rFonts w:ascii="Calibri" w:hAnsi="Calibri" w:eastAsia="PingFang SC"/>
          <w:b/>
          <w:color w:val="1F2937"/>
          <w:sz w:val="21"/>
        </w:rPr>
        <w:t>版本日期：</w:t>
      </w:r>
      <w:r>
        <w:rPr>
          <w:rFonts w:ascii="Calibri" w:hAnsi="Calibri" w:eastAsia="PingFang SC"/>
          <w:color w:val="1F2937"/>
          <w:sz w:val="21"/>
        </w:rPr>
        <w:t>2026年6月2日</w:t>
      </w:r>
    </w:p>
    <w:p>
      <w:pPr>
        <w:spacing w:after="60"/>
      </w:pPr>
      <w:r>
        <w:rPr>
          <w:rFonts w:ascii="Calibri" w:hAnsi="Calibri" w:eastAsia="PingFang SC"/>
          <w:b/>
          <w:color w:val="1F2937"/>
          <w:sz w:val="21"/>
        </w:rPr>
        <w:t>方案定位：</w:t>
      </w:r>
      <w:r>
        <w:rPr>
          <w:rFonts w:ascii="Calibri" w:hAnsi="Calibri" w:eastAsia="PingFang SC"/>
          <w:color w:val="1F2937"/>
          <w:sz w:val="21"/>
        </w:rPr>
        <w:t>立项方案 + 产品体系方案</w:t>
      </w:r>
    </w:p>
    <w:p>
      <w:pPr>
        <w:pBdr>
          <w:bottom w:val="single" w:sz="8" w:space="6" w:color="B7C7D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8E2EC"/>
          <w:left w:val="single" w:sz="4" w:space="0" w:color="D8E2EC"/>
          <w:bottom w:val="single" w:sz="4" w:space="0" w:color="D8E2EC"/>
          <w:right w:val="single" w:sz="4" w:space="0" w:color="D8E2EC"/>
          <w:insideH w:val="single" w:sz="4" w:space="0" w:color="D8E2EC"/>
          <w:insideV w:val="single" w:sz="4" w:space="0" w:color="D8E2EC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核心判断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PingFang SC"/>
                <w:color w:val="1F2937"/>
                <w:sz w:val="20"/>
              </w:rPr>
              <w:t>本系统不是单个客服机器人，而是围绕客户生命周期建立的“客户旅程运营中台”。它用统一客户档案、事件流、Agent编排和任务中心，把电销、销售、私域、客服、售后串成一个连续闭环。</w:t>
            </w:r>
          </w:p>
        </w:tc>
      </w:tr>
    </w:tbl>
    <w:p>
      <w:pPr>
        <w:spacing w:after="80"/>
      </w:pPr>
    </w:p>
    <w:p>
      <w:pPr>
        <w:pStyle w:val="Heading1"/>
      </w:pPr>
      <w:r>
        <w:t>1. 立项背景与目标</w:t>
      </w:r>
    </w:p>
    <w:p>
      <w:r>
        <w:rPr>
          <w:rFonts w:ascii="Calibri" w:hAnsi="Calibri" w:eastAsia="PingFang SC"/>
        </w:rPr>
        <w:t>平台已经沉淀了一批具备交易体量和历史采购数据的客户，但这些客户在电销、销售和私域维护阶段被不同团队分散触达，客户状态、沟通记录、意向判断和服务记录没有形成统一闭环。系统建设的核心价值，是把客户从“数据资产”转化为“可运营、可转化、可维护的客户资产”。</w:t>
      </w:r>
    </w:p>
    <w:p>
      <w:pPr>
        <w:pStyle w:val="Heading2"/>
      </w:pPr>
      <w:r>
        <w:t>1.1 当前痛点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3120"/>
        <w:gridCol w:w="3120"/>
        <w:gridCol w:w="3120"/>
      </w:tblGrid>
      <w:t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团队</w:t>
            </w:r>
          </w:p>
        </w:tc>
        <w:tc>
          <w:tcPr>
            <w:tcW w:type="dxa" w:w="41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当前问题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系统要解决的关键矛盾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电销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外呼名单多，人工判断成本高；加企微后客户沉淀量大，难以持续精细触达。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用智能外呼和企微培育筛选出真正值得销售承接的客户。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销售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销售同时承接大量企微客户，难以及时判断需求和意向；销售经验难以复制。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让AI先完成需求识别、摘要和推荐话术，把高价值客户推到销售面前。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私域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VIP群内客户随意@员工，员工需要进线判断，造成错人响应和人效浪费。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由智能助手先整理需求、标准答复和分流，减少无效进线。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运营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报价单以图片形式分发，客户查找困难；客户关注型号和行为无法回流。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把报价结构化为可查询、可订阅、可追踪的客户页面。</w:t>
            </w:r>
          </w:p>
        </w:tc>
      </w:tr>
    </w:tbl>
    <w:p>
      <w:pPr>
        <w:spacing w:after="80"/>
      </w:pPr>
    </w:p>
    <w:p>
      <w:pPr>
        <w:pStyle w:val="Heading2"/>
      </w:pPr>
      <w:r>
        <w:t>1.2 立项目标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提升意向客户筛选效率：减少无效外呼和无效企微触达，把客户导向正确团队。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提升会员卡销售转化：帮助销售快速理解客户画像、需求、异议点和推荐会员卡。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提升VIP客户维护人效：在群内预处理问题，减少错@、重复进线和跨团队打扰。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沉淀统一客户资产：把交易、企微、外呼、报价、任务和服务结果统一到客户档案。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形成持续优化机制：用回复、点击、订阅、成交、分流结果反哺标签、模板和策略。</w:t>
      </w:r>
    </w:p>
    <w:p>
      <w:pPr>
        <w:pStyle w:val="Heading1"/>
      </w:pPr>
      <w:r>
        <w:t>2. 系统到底是什么</w:t>
      </w:r>
    </w:p>
    <w:p>
      <w:r>
        <w:rPr>
          <w:rFonts w:ascii="Calibri" w:hAnsi="Calibri" w:eastAsia="PingFang SC"/>
        </w:rPr>
        <w:t>系统的产品定位是“客户旅程运营中台”。它不替代企微、外呼系统或交易系统，而是在这些系统之上建立统一的客户理解、智能判断、任务协作和策略回流能力。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8E2EC"/>
          <w:left w:val="single" w:sz="4" w:space="0" w:color="D8E2EC"/>
          <w:bottom w:val="single" w:sz="4" w:space="0" w:color="D8E2EC"/>
          <w:right w:val="single" w:sz="4" w:space="0" w:color="D8E2EC"/>
          <w:insideH w:val="single" w:sz="4" w:space="0" w:color="D8E2EC"/>
          <w:insideV w:val="single" w:sz="4" w:space="0" w:color="D8E2EC"/>
        </w:tblBorders>
      </w:tblPr>
      <w:tblGrid>
        <w:gridCol w:w="9360"/>
      </w:tblGrid>
      <w:tr>
        <w:tc>
          <w:tcPr>
            <w:tcW w:type="dxa" w:w="9360"/>
            <w:shd w:fill="E8F3E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一句话定义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PingFang SC"/>
                <w:color w:val="1F2937"/>
                <w:sz w:val="20"/>
              </w:rPr>
              <w:t>系统从平台历史交易数据出发，识别客户当前阶段和潜在需求，在合适的企微场景中触达客户，并把需要人工处理的事项交给正确的人，最终将处理结果回流到客户档案，驱动下一轮更精准的运营。</w:t>
            </w:r>
          </w:p>
        </w:tc>
      </w:tr>
    </w:tbl>
    <w:p>
      <w:pPr>
        <w:spacing w:after="80"/>
      </w:pPr>
    </w:p>
    <w:p>
      <w:r>
        <w:rPr>
          <w:rFonts w:ascii="Calibri" w:hAnsi="Calibri" w:eastAsia="PingFang SC"/>
        </w:rPr>
        <w:t>系统不是：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不是只在群里自动回复的机器人。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不是只记录客户资料的CRM。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不是只给销售推荐话术的AI助手。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不是电销、销售、私域各自独立的一组工具。</w:t>
      </w:r>
    </w:p>
    <w:p>
      <w:r>
        <w:rPr>
          <w:rFonts w:ascii="Calibri" w:hAnsi="Calibri" w:eastAsia="PingFang SC"/>
        </w:rPr>
        <w:t>系统是：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一套围绕客户生命周期运转的统一中台。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一套把交易数据、企微上下文、员工任务和报价行为连接起来的协作系统。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一套让多个Agent服务不同业务阶段，但共享同一客户档案和事件流的智能运营体系。</w:t>
      </w:r>
    </w:p>
    <w:p>
      <w:pPr>
        <w:pStyle w:val="Heading1"/>
      </w:pPr>
      <w:r>
        <w:t>3. 总体闭环链路</w:t>
      </w:r>
    </w:p>
    <w:p>
      <w:r>
        <w:drawing>
          <wp:inline xmlns:a="http://schemas.openxmlformats.org/drawingml/2006/main" xmlns:pic="http://schemas.openxmlformats.org/drawingml/2006/picture">
            <wp:extent cx="5943600" cy="250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客户旅程运营闭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PingFang SC"/>
          <w:color w:val="5C6670"/>
          <w:sz w:val="18"/>
        </w:rPr>
        <w:t>图1：客户从平台交易数据进入运营链路，并通过成交、服务和行为结果持续回流。</w:t>
      </w:r>
    </w:p>
    <w:p>
      <w:r>
        <w:rPr>
          <w:rFonts w:ascii="Calibri" w:hAnsi="Calibri" w:eastAsia="PingFang SC"/>
        </w:rPr>
        <w:t>总体链路不是三段割裂流程，而是一条连续客户旅程。客户在电销阶段被筛选，在销售阶段被转化，在VIP阶段被维护。任何一个阶段产生的新信息，都会改变客户档案和后续触达策略。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平台交易数据形成客户基础池：系统根据交易体量、历史采购型号、活跃度、会员状态生成待运营客户名单。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电销阶段完成初筛和企微引导：明确意向客户进入销售企微，潜在意向客户进入电销企微培育。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销售阶段完成承接和转化：销售企微中AI先识别需求和异议，销售负责高价值沟通与成交。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VIP阶段完成服务分流和复购运营：群助手整理需求、分配处理人，报价页沉淀客户关注型号。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所有结果回流策略层：客户回复、点击、订阅、成交、未成交、问题解决结果都成为下一轮运营依据。</w:t>
      </w:r>
    </w:p>
    <w:p>
      <w:pPr>
        <w:pStyle w:val="Heading1"/>
      </w:pPr>
      <w:r>
        <w:t>4. 系统分层与流转机制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系统分层协作关系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PingFang SC"/>
          <w:color w:val="5C6670"/>
          <w:sz w:val="18"/>
        </w:rPr>
        <w:t>图2：系统由数据、客户资产、智能决策、触达执行、工作台和风控审计共同构成。</w:t>
      </w:r>
    </w:p>
    <w:p>
      <w:pPr>
        <w:pStyle w:val="Heading2"/>
      </w:pPr>
      <w:r>
        <w:t>4.1 六层架构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层级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核心职责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输出给上层的能力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数据接入与身份层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接入平台交易、会员卡、报价单、外呼、短信、企微消息，并完成客户ID映射。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统一客户身份、可追踪事件、基础事实数据。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客户资产与策略层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维护客户档案、标签、状态、模板、转交规则和客户生命周期。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客户360、分层规则、可解释标签、触达策略。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Agent编排层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按场景调用外呼筛选、电销培育、销售承接、VIP群分流和报价推荐Agent。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意图判断、摘要、推荐动作、任务生成。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触达与执行层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通过短信、企微私聊、企微群、群发和任务SLA执行动作。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客户触达、人工任务、自动回复、SLA提醒。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工作台与入口层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提供企微侧边栏、线索池、客户360、VIP群分流台、报价页和数据看板。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一线处理入口、运营配置入口、管理复盘入口。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风控审计层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控制权限、自动发送边界、敏感内容、低置信度转人工和操作日志。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合规可控的自动化能力。</w:t>
            </w:r>
          </w:p>
        </w:tc>
      </w:tr>
    </w:tbl>
    <w:p>
      <w:pPr>
        <w:spacing w:after="80"/>
      </w:pPr>
    </w:p>
    <w:p>
      <w:pPr>
        <w:pStyle w:val="Heading2"/>
      </w:pPr>
      <w:r>
        <w:t>4.2 层级之间如何流转</w:t>
      </w:r>
    </w:p>
    <w:p>
      <w:r>
        <w:rPr>
          <w:rFonts w:ascii="Calibri" w:hAnsi="Calibri" w:eastAsia="PingFang SC"/>
        </w:rPr>
        <w:t>数据层提供事实，客户资产层形成客户理解，Agent层做判断和推荐，执行层完成触达或任务分配，工作台让员工处理，结果再回写到事件流。这个循环让系统越用越完整，而不是一次性配置后静态运行。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外部系统进入中台：交易、会员卡、企微、外呼、短信、报价数据统一进入事件流。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事件流更新客户档案：每一次外呼、回复、点击、订阅、跟进都会更新客户状态和标签。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Agent读取客户档案：Agent不是凭单条消息判断，而是结合客户历史、当前上下文和业务规则。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任务中心承接人工动作：需要人工处理的事项以任务形式分配，而不是散落在聊天窗口里。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结果回流优化策略：成交、无效、继续培育、问题解决等结果用于优化规则、模板和推荐。</w:t>
      </w:r>
    </w:p>
    <w:p>
      <w:pPr>
        <w:pStyle w:val="Heading1"/>
      </w:pPr>
      <w:r>
        <w:t>5. 各系统之间如何协作</w:t>
      </w:r>
    </w:p>
    <w:p>
      <w:r>
        <w:rPr>
          <w:rFonts w:ascii="Calibri" w:hAnsi="Calibri" w:eastAsia="PingFang SC"/>
        </w:rPr>
        <w:t>该中台与现有系统的关系是“承上启下”：向下接入平台和企微等事实系统，向上提供一线工作台和管理看板。它不要求一次性替换现有系统，但建议由它承担客户档案主库和运营状态主库角色。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系统/渠道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在体系中的角色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与中台的交互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平台交易系统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提供客户是谁、买过什么、交易体量、采购频次。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向中台同步交易事实；接收客户标签或运营状态回写。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会员卡系统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提供客户是否已购卡、卡种、有效期、权益使用和续费状态。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向中台同步会员状态；接收续费/升级线索。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企微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客户沟通发生地，包括私聊、电销企微、销售企微和VIP小群。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中台读取会话与群信息，输出侧边栏建议、模板回复和转交任务。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外呼/短信系统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负责电销首触达和企微添加引导。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中台提供外呼名单和话术，接收通话结果、短信发送和添加结果。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报价系统/报价页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把图片报价单升级成结构化查询、筛选和订阅入口。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中台提供客户关注型号，接收访问、筛选、订阅、咨询行为。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员工工作台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电销、销售、私域、客服、售后的任务处理和复盘入口。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中台统一分发任务、展示客户档案、记录处理结果。</w:t>
            </w:r>
          </w:p>
        </w:tc>
      </w:tr>
    </w:tbl>
    <w:p>
      <w:pPr>
        <w:spacing w:after="80"/>
      </w:pPr>
    </w:p>
    <w:p>
      <w:pPr>
        <w:pStyle w:val="Heading1"/>
      </w:pPr>
      <w:r>
        <w:t>6. 最终整合机制：四个统一</w:t>
      </w:r>
    </w:p>
    <w:p>
      <w:r>
        <w:rPr>
          <w:rFonts w:ascii="Calibri" w:hAnsi="Calibri" w:eastAsia="PingFang SC"/>
        </w:rPr>
        <w:t>系统最终不是靠某一个机器人或某一张页面整合，而是通过四类统一机制，把客户、沟通、任务和策略收束到同一个运营闭环里。这样电销、销售、私域、客服、售后可以分工处理，但不会分裂客户资产。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整合机制</w:t>
            </w:r>
          </w:p>
        </w:tc>
        <w:tc>
          <w:tcPr>
            <w:tcW w:type="dxa" w:w="41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统一什么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解决的问题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统一客户档案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所有客户都归到同一个CustomerProfile，手机号、平台ID、企微ID、客户群ID互相映射。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避免电销、销售、私域各自维护客户资料，导致状态不一致。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统一事件流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外呼、短信、企微私聊、群聊、报价访问、订阅、人工跟进都记录为InteractionEvent。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避免只看到局部聊天记录，看不到客户完整旅程。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统一任务中心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销售线索、VIP问题、报价咨询、售后分流都进入HandoffTask。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避免靠群聊@人和人工记忆协作，让需要处理的事可分配、可追踪、可复盘。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统一策略回流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客户回复、点击、订阅、成交、未成交、问题解决结果都回写标签、模板和Agent策略。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避免系统只做一次性触达，无法根据真实效果持续优化。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8E2EC"/>
          <w:left w:val="single" w:sz="4" w:space="0" w:color="D8E2EC"/>
          <w:bottom w:val="single" w:sz="4" w:space="0" w:color="D8E2EC"/>
          <w:right w:val="single" w:sz="4" w:space="0" w:color="D8E2EC"/>
          <w:insideH w:val="single" w:sz="4" w:space="0" w:color="D8E2EC"/>
          <w:insideV w:val="single" w:sz="4" w:space="0" w:color="D8E2EC"/>
        </w:tblBorders>
      </w:tblPr>
      <w:tblGrid>
        <w:gridCol w:w="9360"/>
      </w:tblGrid>
      <w:tr>
        <w:tc>
          <w:tcPr>
            <w:tcW w:type="dxa" w:w="9360"/>
            <w:shd w:fill="E8F3E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整合后的运转方式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PingFang SC"/>
                <w:color w:val="1F2937"/>
                <w:sz w:val="20"/>
              </w:rPr>
              <w:t>客户不再只属于某个环节，而是拥有统一生命周期状态；员工不再从聊天记录里找线索，而是处理系统分配的任务；策略不再依赖个人经验，而是由客户行为和成交结果持续回流更新。</w:t>
            </w:r>
          </w:p>
        </w:tc>
      </w:tr>
    </w:tbl>
    <w:p>
      <w:pPr>
        <w:spacing w:after="80"/>
      </w:pPr>
    </w:p>
    <w:p>
      <w:pPr>
        <w:pStyle w:val="Heading1"/>
      </w:pPr>
      <w:r>
        <w:t>7. 业务场景流程</w:t>
      </w:r>
    </w:p>
    <w:p>
      <w:r>
        <w:drawing>
          <wp:inline xmlns:a="http://schemas.openxmlformats.org/drawingml/2006/main" xmlns:pic="http://schemas.openxmlformats.org/drawingml/2006/picture">
            <wp:extent cx="5943600" cy="3500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客户任务团队协作流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PingFang SC"/>
          <w:color w:val="5C6670"/>
          <w:sz w:val="18"/>
        </w:rPr>
        <w:t>图3：电销、销售和私域并不是三套系统，而是同一客户旅程中的三个处理阶段。</w:t>
      </w:r>
    </w:p>
    <w:p>
      <w:pPr>
        <w:pStyle w:val="Heading2"/>
      </w:pPr>
      <w:r>
        <w:t>7.1 电销筛选流程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系统从交易数据中生成待外呼名单，优先级由交易体量、历史采购型号、活跃度和潜在会员价值决定。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外呼筛选Agent结合客户画像和通话转写输出意向等级、沟通摘要和建议动作。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明确意向客户收到销售企微添加引导；潜在意向客户进入电销企微培育。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电销培育Agent根据采购型号和行为标签选择审核模板做定向推送。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客户回复、点击或表达需求后，系统生成销售线索任务并附带摘要和推荐跟进话术。</w:t>
      </w:r>
    </w:p>
    <w:p>
      <w:pPr>
        <w:pStyle w:val="Heading2"/>
      </w:pPr>
      <w:r>
        <w:t>7.2 销售转化流程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销售在企微侧边栏看到客户简档、最近交易、关注型号、会员状态和AI摘要。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销售承接Agent识别客户需求、采购周期、价格敏感度、异议点和会员卡匹配度。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系统根据规则+队列分配高意向客户，销售负责关键沟通和成交动作。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AI提供销售话术建议，但涉及价格承诺、合同、付款、退款等内容必须由人工确认。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成交、继续培育、无效、暂缓等结果回流客户档案，影响下一次推荐和触达策略。</w:t>
      </w:r>
    </w:p>
    <w:p>
      <w:pPr>
        <w:pStyle w:val="Heading2"/>
      </w:pPr>
      <w:r>
        <w:t>7.3 VIP私域维护流程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已购买会员卡客户进入专属企微小群，群内包含客户、私域顾问、销售、客服和售后。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VIP群分流Agent读取上下文，判断客户真实需求、问题类型、被@对象是否正确。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标准问题使用审核模板自动答复；复杂问题生成任务并分流给正确角色。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群内问题进入SLA管理，负责人处理完成后回填结果。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每周报价通过结构化报价页推送，客户搜索、筛选、订阅和咨询行为回流档案。</w:t>
      </w:r>
    </w:p>
    <w:p>
      <w:pPr>
        <w:pStyle w:val="Heading1"/>
      </w:pPr>
      <w:r>
        <w:t>8. 统一客户档案与状态体系</w:t>
      </w:r>
    </w:p>
    <w:p>
      <w:r>
        <w:rPr>
          <w:rFonts w:ascii="Calibri" w:hAnsi="Calibri" w:eastAsia="PingFang SC"/>
        </w:rPr>
        <w:t>客户档案是系统整合的核心。电销、销售、私域、客服、售后看到的是同一个客户，只是权限和任务视角不同。所有业务协作都围绕CustomerProfile和InteractionEvent展开。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对象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包含内容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用途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CustomerProfile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平台客户ID、手机号、企微ID、群ID、负责人、交易画像、会员状态、风险标记。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统一识别客户，承载全生命周期画像。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InteractionEvent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外呼、短信、企微私聊、群聊、报价访问、订阅、人工跟进等事件。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记录客户旅程，驱动标签更新和策略回流。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IntentSignal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意向等级、关注产品、采购周期、异议点、置信度、是否需转人工。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判断是否进入销售承接或继续培育。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HandoffTask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来源阶段、客户、转交原因、建议负责人、摘要、SLA、下一步动作。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把需要人工处理的事项标准化分配。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TemplateMessage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场景、变量、审核状态、自动发送条件、禁用规则。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控制AI自动触达边界。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QuoteItem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品牌、型号、配置、价格、库存/有效期、客户可见字段、订阅状态。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支撑报价筛选、订阅和个性化推送。</w:t>
            </w:r>
          </w:p>
        </w:tc>
      </w:tr>
    </w:tbl>
    <w:p>
      <w:pPr>
        <w:spacing w:after="80"/>
      </w:pPr>
    </w:p>
    <w:p>
      <w:pPr>
        <w:pStyle w:val="Heading2"/>
      </w:pPr>
      <w:r>
        <w:t>8.1 客户状态机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客户生命周期：待筛选 → 待外呼 → 已外呼 → 电销企微培育 / 销售企微承接 → 销售跟进 → 已购会员 → VIP维护 → 续费/复购/流失预警。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线索状态：新线索 → AI识别中 → 待分配 → 跟进中 → 成交 / 无效 / 继续培育 / 暂缓。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VIP问题状态：群内提问 → AI识别 → 自动答复 / 人工分流 → 负责人处理中 → 已解决 / 升级处理。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报价兴趣状态：未访问 → 已访问 → 已筛选 → 已订阅型号 → 已咨询 → 销售跟进。</w:t>
      </w:r>
    </w:p>
    <w:p>
      <w:pPr>
        <w:pStyle w:val="Heading2"/>
      </w:pPr>
      <w:r>
        <w:t>8.2 首期标签策略</w:t>
      </w:r>
    </w:p>
    <w:p>
      <w:r>
        <w:rPr>
          <w:rFonts w:ascii="Calibri" w:hAnsi="Calibri" w:eastAsia="PingFang SC"/>
        </w:rPr>
        <w:t>首期采用规则标签优先，保证标签可解释、可运营、可复盘。AI语义标签作为补充信息，低置信度或关键标签需要人工确认。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标签类型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示例</w:t>
            </w:r>
          </w:p>
        </w:tc>
        <w:tc>
          <w:tcPr>
            <w:tcW w:type="dxa" w:w="38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应用场景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品类/型号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iPhone、华为、Mate60、iPhone13、配件。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定向推送、报价订阅、销售推荐。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价值分层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高交易额、高频采购、低频大额、新客户、沉睡客户。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外呼优先级、销售分配、VIP维护策略。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意向分层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明确意向、潜在意向、需培育、无效、风险客户。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是否升级销售、是否自动触达、是否转人工。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行为标签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已加企微、已回复、点击报价、订阅型号、咨询会员卡。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触发下一步任务和推荐。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服务标签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售前咨询、售后问题、会员权益、报价问题、投诉风险。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VIP群分流和SLA管理。</w:t>
            </w:r>
          </w:p>
        </w:tc>
      </w:tr>
    </w:tbl>
    <w:p>
      <w:pPr>
        <w:spacing w:after="80"/>
      </w:pPr>
    </w:p>
    <w:p>
      <w:pPr>
        <w:pStyle w:val="Heading1"/>
      </w:pPr>
      <w:r>
        <w:t>9. Agent协作体系</w:t>
      </w:r>
    </w:p>
    <w:p>
      <w:r>
        <w:rPr>
          <w:rFonts w:ascii="Calibri" w:hAnsi="Calibri" w:eastAsia="PingFang SC"/>
        </w:rPr>
        <w:t>系统中的多个Agent按业务阶段分工，但不各自维护数据。所有Agent读取同一客户档案和事件流，并把输出写回任务中心或客户档案。这样既能适配不同场景，也能避免形成多个孤立机器人。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8"/>
              </w:rPr>
              <w:t>Agent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8"/>
              </w:rPr>
              <w:t>输入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8"/>
              </w:rPr>
              <w:t>输出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8"/>
              </w:rPr>
              <w:t>动作边界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外呼筛选Agent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交易数据、客户名单、通话转写。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意向等级、沟通摘要、企微引导建议。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生成建议和引导动作，不做成交承诺。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电销培育Agent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采购型号、企微互动、推送点击和回复。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兴趣标签、推送建议、升级销售判断。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仅可发送审核模板。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销售承接Agent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客户档案、会员卡产品、企微上下文。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需求、异议点、推荐会员卡、话术建议。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成交关键节点必须销售确认。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VIP群分流Agent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群上下文、被@对象、历史服务记录。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问题类型、建议处理角色、优先级、回复模板。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标准问题可自动答复，复杂问题转人工。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报价推荐Agent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报价数据、采购历史、订阅型号、访问行为。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个性化报价推荐、订阅提醒、销售跟进触发。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8"/>
              </w:rPr>
              <w:t>不直接下单或支付。</w:t>
            </w:r>
          </w:p>
        </w:tc>
      </w:tr>
    </w:tbl>
    <w:p>
      <w:pPr>
        <w:spacing w:after="80"/>
      </w:pPr>
    </w:p>
    <w:p>
      <w:pPr>
        <w:pStyle w:val="Heading1"/>
      </w:pPr>
      <w:r>
        <w:t>10. 产品形态与页面设计</w:t>
      </w:r>
    </w:p>
    <w:p>
      <w:pPr>
        <w:pStyle w:val="Heading2"/>
      </w:pPr>
      <w:r>
        <w:t>10.1 两个主要入口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入口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使用对象</w:t>
            </w:r>
          </w:p>
        </w:tc>
        <w:tc>
          <w:tcPr>
            <w:tcW w:type="dxa" w:w="295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解决什么问题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核心能力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企微侧边栏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销售、客服、售后、私域顾问。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人在企微沟通现场，需要快速理解客户并选择下一步。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客户简档、最近交易、关注型号、AI摘要、推荐回复、转交按钮。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独立工作台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电销、销售主管、私域主管、运营管理员、管理层。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需要批量处理线索、配置规则、查看任务和复盘指标。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线索池、客户360、VIP分流台、报价后台、模板中心、任务中心、数据看板。</w:t>
            </w:r>
          </w:p>
        </w:tc>
      </w:tr>
    </w:tbl>
    <w:p>
      <w:pPr>
        <w:spacing w:after="80"/>
      </w:pPr>
    </w:p>
    <w:p>
      <w:pPr>
        <w:pStyle w:val="Heading2"/>
      </w:pPr>
      <w:r>
        <w:t>10.2 核心页面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客户360页：展示基础信息、交易概览、采购偏好、会员状态、企微关系、沟通摘要、推荐动作和风险提示。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线索池：支持按意向等级、品类、交易体量、最近互动筛选，并完成分配、抢单、关闭、回访。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VIP群分流台：展示待处理群问题、建议负责人、SLA、处理进度和升级状态。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报价客户页：支持品牌、型号、配置、价格筛选，支持搜索、订阅、咨询入口。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模板中心：管理短信、私聊、群发、群内答复、销售跟进模板和自动发送条件。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数据看板：按团队、人员、阶段查看转化、人效、响应、服务质量和报价行为。</w:t>
      </w:r>
    </w:p>
    <w:p>
      <w:pPr>
        <w:pStyle w:val="Heading1"/>
      </w:pPr>
      <w:r>
        <w:t>11. 自动化边界与风控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8E2EC"/>
          <w:left w:val="single" w:sz="4" w:space="0" w:color="D8E2EC"/>
          <w:bottom w:val="single" w:sz="4" w:space="0" w:color="D8E2EC"/>
          <w:right w:val="single" w:sz="4" w:space="0" w:color="D8E2EC"/>
          <w:insideH w:val="single" w:sz="4" w:space="0" w:color="D8E2EC"/>
          <w:insideV w:val="single" w:sz="4" w:space="0" w:color="D8E2EC"/>
        </w:tblBorders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自动发送原则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PingFang SC"/>
                <w:color w:val="1F2937"/>
                <w:sz w:val="20"/>
              </w:rPr>
              <w:t>首期AI自动触达只允许“审核模板 + 变量填充”。AI自由生成内容只作为员工建议，不直接发送给客户。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4680"/>
        <w:gridCol w:w="4680"/>
      </w:tblGrid>
      <w:tr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允许自动发送</w:t>
            </w:r>
          </w:p>
        </w:tc>
        <w:tc>
          <w:tcPr>
            <w:tcW w:type="dxa" w:w="47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必须人工确认</w:t>
            </w:r>
          </w:p>
        </w:tc>
      </w:tr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企微添加引导、标准欢迎语、常见会员权益说明、标准报价提醒、型号订阅提醒、VIP群标准分流提示。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价格承诺、合同/付款/退款、售后争议、投诉情绪、法律风险、低置信度识别、高价值客户关键成交节点。</w:t>
            </w:r>
          </w:p>
        </w:tc>
      </w:tr>
    </w:tbl>
    <w:p>
      <w:pPr>
        <w:spacing w:after="80"/>
      </w:pP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所有自动动作必须记录模板ID、变量、触发规则、置信度、发送对象和发送时间。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员工只能查看自己权限范围内的客户、群和任务。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涉及企微会话内容存档、客户数据使用、短信触达，需要完成合规授权和内部审计。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系统必须保留低置信度转人工机制，避免AI强行回答不确定问题。</w:t>
      </w:r>
    </w:p>
    <w:p>
      <w:pPr>
        <w:pStyle w:val="Heading1"/>
      </w:pPr>
      <w:r>
        <w:t>12. 实现优先级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3120"/>
        <w:gridCol w:w="3120"/>
        <w:gridCol w:w="3120"/>
      </w:tblGrid>
      <w:t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优先级</w:t>
            </w:r>
          </w:p>
        </w:tc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目标</w:t>
            </w:r>
          </w:p>
        </w:tc>
        <w:tc>
          <w:tcPr>
            <w:tcW w:type="dxa" w:w="56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建设内容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P0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打通整体闭环，让客户能跨阶段流转。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客户档案中心、平台交易数据接入、企微客户/客户群接入、规则标签、企微侧边栏、线索池、任务中心、模板自动回复、VIP群分流、报价查询与型号订阅页。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P1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提升转化和运营效率。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智能外呼接入、会员卡推荐、报价个性化推送、销售技巧知识库、团队SLA、效果看板。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P2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形成持续优化能力。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话术A/B测试、客户价值预测、流失预警、成交案例自动复盘、多Agent策略优化。</w:t>
            </w:r>
          </w:p>
        </w:tc>
      </w:tr>
    </w:tbl>
    <w:p>
      <w:pPr>
        <w:spacing w:after="80"/>
      </w:pPr>
    </w:p>
    <w:p>
      <w:pPr>
        <w:pStyle w:val="Heading2"/>
      </w:pPr>
      <w:r>
        <w:t>12.1 P0最小可用闭环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从平台数据生成客户池，并为客户建立统一CustomerProfile。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企微客户和客户群消息进入事件流，侧边栏能展示客户简档。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系统能根据规则标签判断客户阶段，并生成销售线索或VIP分流任务。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模板中心支持审核模板，AI只能自动发送模板化内容。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报价页支持查询、筛选、订阅和咨询，行为回流客户档案。</w:t>
      </w:r>
    </w:p>
    <w:p>
      <w:pPr>
        <w:pStyle w:val="ListNumber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看板能统计从企微添加、线索升级、销售承接到VIP分流的核心指标。</w:t>
      </w:r>
    </w:p>
    <w:p>
      <w:pPr>
        <w:pStyle w:val="Heading1"/>
      </w:pPr>
      <w:r>
        <w:t>13. 验收指标与复盘机制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3120"/>
        <w:gridCol w:w="3120"/>
        <w:gridCol w:w="3120"/>
      </w:tblGrid>
      <w:t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领域</w:t>
            </w:r>
          </w:p>
        </w:tc>
        <w:tc>
          <w:tcPr>
            <w:tcW w:type="dxa" w:w="41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核心指标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9"/>
              </w:rPr>
              <w:t>复盘目的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电销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外呼接通率、企微添加率、电销企微回复率、线索升级率。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判断外呼名单、话术和企微引导是否有效。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销售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高意向承接率、首次响应时长、会员卡成交率、继续培育转化率。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判断线索质量和销售承接效率。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私域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群问题识别率、正确分流率、无效员工进线下降率、SLA达成率。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判断VIP群助手是否真正降低人效浪费。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报价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报价页访问率、搜索筛选使用率、型号订阅率、报价咨询转化率。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判断结构化报价是否提升客户自助查询和销售机会。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系统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标签命中率、自动回复准确率、转人工准确率、审计日志完整率。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判断系统自动化是否稳定可控。</w:t>
            </w:r>
          </w:p>
        </w:tc>
      </w:tr>
    </w:tbl>
    <w:p>
      <w:pPr>
        <w:spacing w:after="80"/>
      </w:pPr>
    </w:p>
    <w:p>
      <w:pPr>
        <w:pStyle w:val="Heading2"/>
      </w:pPr>
      <w:r>
        <w:t>13.1 复盘闭环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日维度：查看待处理任务、SLA超时、异常转人工和关键客户提醒。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周维度：复盘外呼到企微、企微到销售、销售到成交、VIP分流、报价订阅数据。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月维度：复盘标签规则、模板效果、销售话术、客户价值分层和团队人效变化。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策略更新：将有效模板、优秀成交案例、常见问题分流规则沉淀到模板中心和知识库。</w:t>
      </w:r>
    </w:p>
    <w:p>
      <w:pPr>
        <w:pStyle w:val="Heading1"/>
      </w:pPr>
      <w:r>
        <w:t>14. 关键假设与后续核验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系统采用私有化或专有云部署，客户交易数据和企微上下文在可控环境内处理。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新系统作为统一客户档案主库，再向CRM/SCRM或内部系统同步必要结果。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员工使用模式为“企微侧边栏 + 独立工作台”。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标签首期采用规则标签优先，AI语义标签作为补充。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报价页首期支持查询、筛选、订阅和咨询，不直接承接支付或下单。</w:t>
      </w:r>
    </w:p>
    <w:p>
      <w:pPr>
        <w:pStyle w:val="ListBullet"/>
        <w:spacing w:after="80" w:line="276" w:lineRule="auto"/>
      </w:pPr>
      <w:r>
        <w:rPr>
          <w:rFonts w:ascii="Calibri" w:hAnsi="Calibri" w:eastAsia="PingFang SC"/>
          <w:color w:val="1F2937"/>
          <w:sz w:val="21"/>
        </w:rPr>
        <w:t>企微按完整权限申请，实施前核验客户联系、客户群、会话内容存档和群发能力。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8E2EC"/>
          <w:left w:val="single" w:sz="4" w:space="0" w:color="D8E2EC"/>
          <w:bottom w:val="single" w:sz="4" w:space="0" w:color="D8E2EC"/>
          <w:right w:val="single" w:sz="4" w:space="0" w:color="D8E2EC"/>
          <w:insideH w:val="single" w:sz="4" w:space="0" w:color="D8E2EC"/>
          <w:insideV w:val="single" w:sz="4" w:space="0" w:color="D8E2EC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后续产品深化建议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PingFang SC"/>
                <w:color w:val="1F2937"/>
                <w:sz w:val="20"/>
              </w:rPr>
              <w:t>下一步可以继续拆成PRD级别内容：角色权限矩阵、字段字典、页面原型说明、接口清单、标签规则表、模板审核流、SLA规则和数据看板口径。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PingFang SC"/>
        <w:color w:val="5C6670"/>
        <w:sz w:val="18"/>
      </w:rPr>
      <w:t xml:space="preserve">Confidential | Page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PingFang SC"/>
        <w:color w:val="5C6670"/>
        <w:sz w:val="18"/>
      </w:rPr>
      <w:t>智能客服与客户运营中台完整方案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 w:eastAsia="PingFang SC"/>
      <w:b w:val="0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Calibri" w:hAnsi="Calibri" w:eastAsia="PingFang SC"/>
      <w:b w:val="0"/>
      <w:color w:val="1F293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 w:eastAsia="PingFang SC"/>
      <w:b w:val="0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