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LOOOM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COMÉRCIO DE ILUMINAÇÃO LTDA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pessoa jurídica de direito privado, inscrita no CNPJ sob o nº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44.526.742/0001-20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inscrição estadual nº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90921314-21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Assunção, nº 326 – Parque Guanabara, Londrina/PR – CEP 86050-180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neste ato representada por sua responsável legal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Sra. Tamara Carvalho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doravante denominada simplesmente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“CONTRATANTE”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CONTRATADO (A): </w:t>
      </w:r>
      <w:r w:rsidDel="00000000" w:rsidR="00000000" w:rsidRPr="00000000">
        <w:rPr>
          <w:rFonts w:ascii="Arial" w:cs="Arial" w:eastAsia="Arial" w:hAnsi="Arial"/>
          <w:color w:val="0e0e0e"/>
          <w:sz w:val="24"/>
          <w:szCs w:val="24"/>
          <w:rtl w:val="0"/>
        </w:rPr>
        <w:t xml:space="preserve">Agência Pratic, CNPJ nº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4"/>
          <w:szCs w:val="24"/>
          <w:rtl w:val="0"/>
        </w:rPr>
        <w:t xml:space="preserve">57.200.006/0001-20</w:t>
      </w:r>
      <w:r w:rsidDel="00000000" w:rsidR="00000000" w:rsidRPr="00000000">
        <w:rPr>
          <w:rFonts w:ascii="Arial" w:cs="Arial" w:eastAsia="Arial" w:hAnsi="Arial"/>
          <w:color w:val="0e0e0e"/>
          <w:sz w:val="24"/>
          <w:szCs w:val="24"/>
          <w:rtl w:val="0"/>
        </w:rPr>
        <w:t xml:space="preserve">, com sede online, representada por ISABELA BRITO MACEDO MENDONÇA,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publicitário independente, portadora do CPF sob o n° 120,894.339-14, com sede nos meios digitais, doravante denominada “CONTRATADO (A)”.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acima identificadas têm, entre si, justo e acertado o presente contrato de parceria, que se regerá pelas cláusulas seguintes e pelas condições descritas no 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OBJETO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PRIMEIRA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O presente contrato tem por objeto a prestação de serviços de marketing digital, criação de identidade visual e desenvolvimento de site institucional, conforme detalhamento abaixo: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Prestação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serviços recorrentes de 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os seguintes elementos: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Elaboração e publicação de 3 (três) a 4 (quatro) postagens semanais em formatos variados (carrossel, reels, imagens e vídeos);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Alteração e personalização de biografia, destaques e imagem de perfil da página oficial da CONTRATANTE em redes sociais;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Desenvolvimento de planejamento estratégico mensal com foco em conteúdos educativos e engajadores;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(uma) captação mensal de conteúdo audiovisual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incluindo vídeos e fotografias profissionais,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agendamento de 1 (uma) diária por captação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destinada à cobertura das demandas da CONTRATANTE.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Caso, por necessidade da CONTRATANTE ou volume de conteúdo, seja requerida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outra diária adicional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mesma será tratada como captação avulsa, nos termos da Cláusula 1.4.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Elaboração de roteiros para gravações, com direção estratégica;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f) Edição profissional de vídeos com dinâmica visual e sonora apropriadas à identidade da marca;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g) Redação de legendas atrativas e adaptadas ao público-alvo;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h) Criação de capas personalizadas para vídeos e conteúdos em destaque;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i) Produção de peças gráficas e postagens estáticas (carrosséis, artes visuais, entre outros);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j) Análise de desempenho e entrega de relatórios mensais com dados e métricas;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k) Configuração e organização do link na bio da rede social utilizada;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l) Instruções visuais padronizadas com aplicação de cores e fontes da marca.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Prestação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serviço de criação de identidade visual institucional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em regime de cobrança única, com os seguintes elementos: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Criação de símbolo visual (ícones, padrões, ilustrações e/ou elementos geométricos ou orgânicos);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Desenvolvimento de logotipo em versões diversas (horizontal, vertical, reduzida), incluindo variações monocromáticas (preto, branco e negativo) e aplicações em fundos distintos;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Definição de paleta de cores personalizada para uso institucional e comercial;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Desenvolvimento de fontes exclusivas e/ou estilizadas pela equipe da CONTRATADA;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Elaboração de mockups personalizados (ex: cartão de visita, postagens, fachada, receituários, orçamentos, embalagens, uniformes, entre outros);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f) Entrega de manual com os códigos de cores e fontes aplicados na identidade visual.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Prestação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serviço de desenvolvimento de site institucional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em regime de cobrança única, com os seguintes elementos: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Criação de site funcional e responsivo, compatível com dispositivos móveis e navegadores diversos;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Implementação de catálogo visual e organizado dos produtos comercializados pela CONTRATANTE;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Estrutura compatível com vídeos e mídias integradas;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Inclusão de páginas específicas para exibição de marcas parceiras;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Criação e organização de páginas institucionais funcionais (como “Quem Somos”, “Catálogo”, “Contato” e similares).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1.4 – Das Captações Adicionais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contratação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captações audiovisuais adicionais fora da diária prevista na Cláusula 1.1, alínea “d”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será considerada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serviço avulso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deverá ser previamente acordada entre as partes, sendo cobrada no valor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R$ 1.200,00 (mil e duzentos reais)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diária adicional de captação.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DAS OBRIGAÇÕES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SEGUNDA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2.1. São obrigações da CONTRATADA: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Prestar os serviços descritos na Cláusula Primeira com dedicação, qualidade e responsabilidade, empregando os melhores esforços técnicos e criativos para alcançar os resultados propostos.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Cumprir o cronograma de execução dos serviços previamente acordado entre as partes, salvo em casos de força maior ou caso fortuito, conforme previsto no artigo 393 do Código Civil.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Disponibilizar os materiais criados para validação e aprovação da CONTRATANTE, respeitando os prazos internos definidos em planejamento.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Proceder com as revisões solicitadas pela CONTRATANTE, dentro do escopo e limites previamente acordados, visando a excelência do material final entregue.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Garantir o sigilo e confidencialidade de todas as informações, documentos e dados fornecidos pela CONTRATANTE, durante e após a vigência do presente contrato.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f) Fornecer relatórios e análises de desempenho das redes sociais, conforme periodicidade definida em planejamento.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2.2. São obrigações da CONTRATANTE: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Fornecer à CONTRATADA todas as informações, materiais, acessos e demais recursos necessários para a correta execução dos serviços, respeitando os prazos acordados.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Cumprir os prazos para validação, feedbacks e aprovações das etapas e entregas realizadas pela CONTRATADA, de modo a não comprometer o cronograma estabelecido.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Realizar os pagamentos conforme estipulado na Cláusula Quarta deste contrato, observando valores, prazos e formas acordadas.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Zelar pelo bom relacionamento e comunicação com a CONTRATADA, mantendo um canal colaborativo e eficiente para o desenvolvimento do projeto.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Responsabilizar-se por todo e qualquer conteúdo (textos, imagens, vídeos, logos, etc.) fornecido à CONTRATADA, garantindo que estes não infrinjam direitos de terceiros.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2.3. Comunicação entre as partes: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comunicação oficial entre as partes será realizada preferencialmente por meio do endereço de e-mail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[financeiro@looom.com.br]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CONTRATANTE, sendo este o canal formal para envio de materiais, informações, aprovações e demais tratativas relativas ao projeto.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meio complementar e facilitador, as partes poderão utilizar o número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[(43) 3304-4396]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exclusivamente para comunicações rápidas e operacionais. Contudo, para fins de registro, qualquer solicitação, alteração, aprovação ou decisão relevante deverá ser reiterada por e-mail.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left="708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DOS PRAZOS</w:t>
      </w:r>
    </w:p>
    <w:p w:rsidR="00000000" w:rsidDel="00000000" w:rsidP="00000000" w:rsidRDefault="00000000" w:rsidRPr="00000000" w14:paraId="0000003D">
      <w:pPr>
        <w:spacing w:after="0" w:line="360" w:lineRule="auto"/>
        <w:ind w:left="708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TERCEIRA –  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3.1. O presente contrato terá vigência inicial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06 (seis) meses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contados a partir da data de sua assinatura pelas partes.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3.2. Os serviços contratados terão início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após a assinatura deste instrumento contratual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efetivação do primeiro pagamento acordado, bem como mediante o recebimento de todas as informações e materiais necessários por parte da CONTRATANTE.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3.3.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planejamento estratégico mensal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desenvolvido e entregue conforme cronograma estabelecido entre as partes, tendo como ponto de partida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primeira captação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prevista no escopo do contrato.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3.4.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site institucional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entregue em até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contados a partir da vigência do contrato e do recebimento integral, por parte da CONTRATADA, de todos os dados, conteúdos e materiais necessários para sua produção.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3.5.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identidade visual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entregue em até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25 (vinte e cinco)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contados a partir da vigência do contrato e do fornecimento completo de informações, referências e materiais solicitados à CONTRATANTE.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3.6. Eventuais atrasos na entrega de materiais por parte da CONTRATANTE poderão implicar na readequação dos prazos acima mencionados, sem prejuízo à CONTRATADA.</w:t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3.7. Em casos fortuitos ou de força maior, conforme previsto no art. 393 do Código Civil, os prazos poderão ser revistos mediante comunicação entre as partes, registrada por escrito.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PAGAMENTO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QUARTA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R$ 2.500,00 (dois mil e quinhentos reais)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vencimento todo dia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05 (cinco)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cada mês, mediante envio de cobrança ou conforme forma de pagamento acordada entre as partes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PIX, transferência bancária ou outro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valor referente ao serviço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Identidade Visual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R$ 3.000,00 – três mil reais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será pago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parcela única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vencimento no dia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 (quinze) de maio de 2025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considerando como entregue o material no momento 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disponibilização dos arquivos finais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valor referente ao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Site Institucional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R$ 2.000,00 – dois mil reais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será pago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parcela única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vencimento no dia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25 (vinte e cinco) de maio de 2025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sendo considerada como data de entrega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publicação oficial do site online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haja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atraso no pagamento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quaisquer valores previstos neste contrato, será aplicada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multa de 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sobre o valor devido, acrescida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juros moratórios de 1% (um por cento) ao mês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além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correção monetária conforme o índice IPCA-E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até a data do efetivo pagamento.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pagamento nas datas estabelecidas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acarretar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suspensão imediata dos serviços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CONTRATADA, sem prejuízo 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cobrança dos valores vencidos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possibilidade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rescisão contratual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termos previstos neste instrumento.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4.6.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contratual após o período de 6 (seis) meses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os valores poderão ser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reajustados com base no índice oficial de inflação (IPCA)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ou conforme nova negociação entre as partes.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QUINTA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54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55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56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57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ou omissão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informações por parte da CONTRATADA, devendo a mesma zelar pelo material e prazo.</w:t>
      </w:r>
    </w:p>
    <w:p w:rsidR="00000000" w:rsidDel="00000000" w:rsidP="00000000" w:rsidRDefault="00000000" w:rsidRPr="00000000" w14:paraId="00000058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SEXTA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5C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SÉTIMA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Londrina, 02 de Maio de 2025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64">
      <w:pPr>
        <w:spacing w:line="360" w:lineRule="auto"/>
        <w:jc w:val="center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LOOOM COMÉRCIO DE ILUMINAÇÃO LTDA</w:t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