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INTERDESIGN INDÚSTRIA E COMÉRCIO LTDA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CNPJ/CPF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46.680.136/0001-90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AV. NASSIM JABUR, 145 – BOX 295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Londrina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financeiro@cavezzo.com.br; nfe@cavezzo.com.br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(43) 3329-9300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12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 (duas) captações mensais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R$ 2.500,00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 10 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10/03/2026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[10/09/2026]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30 (trinta) dias corridos, por escrito.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antes do término da vigência mínima acordada, por iniciativa da CONTRATANTE, sem justa causa, será devida multa rescisória equivalente a 30% (trinta por cento) do valor restante do contrato até o final do período vigente.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Configura-se descumprimento contratual grave, para os fins do item 7.3, o não cumprimento reiterado ou injustificado por parte da CONTRATADA na entrega dos materiais acordados, nos prazos e especificações estabelecidos entre as partes, podendo a CONTRATANTE, nessa hipótese, rescindir o contrato sem ônus ou penalidades.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7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(Londrina, 06/03/2026)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INTERDESIGN INDÚSTRIA E COMÉRCIO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