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c8c8c"/>
          <w:sz w:val="20"/>
          <w:szCs w:val="20"/>
          <w:rtl w:val="0"/>
        </w:rPr>
        <w:t xml:space="preserve">PROPOSTA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Site institucional + hub de revenda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d9d9d9" w:space="4" w:sz="4" w:val="single"/>
        </w:pBd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8c8c8c"/>
          <w:sz w:val="24"/>
          <w:szCs w:val="24"/>
          <w:rtl w:val="0"/>
        </w:rPr>
        <w:t xml:space="preserve">KALLAS Design · Luz como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color w:val="8c8c8c"/>
          <w:sz w:val="18"/>
          <w:szCs w:val="18"/>
          <w:rtl w:val="0"/>
        </w:rPr>
        <w:t xml:space="preserve">Londrina/PR  ·  Agência Pratic  ·  Validade: 15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pBdr>
          <w:bottom w:color="d9d9d9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Rule="auto"/>
        <w:ind w:firstLine="72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KALLAS já tem acervo autoral, discurso de marca e rede de revendas. Falta o ativo digital à altura disso: hoje o arquiteto não tem onde baixar o 3D ou o IES, a revenda não tem material central e o cliente final não sabe onde comprar.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Rule="auto"/>
        <w:ind w:firstLine="72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Site institucional com acervo, manifesto, projetos e biblioteca técnica liberada por cadastro, mais um hub B2B para a rede de revendas. Não é loja virtual — o site encaminha a compra; quem fecha o pedido é a loja parceira.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pBdr>
          <w:bottom w:color="d9d9d9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Dez páginas: Home, Acervo, Produto, Projetos, Manifesto, Onde Encontrar, Materiais, Contato, Revenda e painel Admin. A Home é o eixo da jornada.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7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Catálogo visual das 5 linhas e 8 peças, com filtro por linha e tipo e busca.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7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Ficha de produto com galeria, acabamentos, dados técnicos e peças relacionadas.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7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Projetos por categoria e ambientes de referência para especificação.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7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Rede de revendas com busca por 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7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Biblioteca técnica (SKP, DWG, IES, pré-catálogo, imagens) liberada por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7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Hub de revenda: vídeo, atalhos, lista de lojas e materiais.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7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Painel administrativo de leads e integração com WhatsApp, Instagram e e-mail.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7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Identidade editorial aplicada, site responsivo e otimizado para busca.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Fora do escopo: carrinho e pagamento online, blog, login de cliente final, produção de fotos, vídeo e renders das peças, e redação dos textos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pBdr>
          <w:bottom w:color="d9d9d9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 semanas a partir da aprovação e do recebimento do material da marca: imersão e arquitetura (1), direção visual (2), desenvolvimento (3 a 5), conteúdo e testes (6) e publicação (7).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pBdr>
          <w:bottom w:color="d9d9d9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Investimento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5360"/>
        <w:gridCol w:w="4000"/>
        <w:tblGridChange w:id="0">
          <w:tblGrid>
            <w:gridCol w:w="5360"/>
            <w:gridCol w:w="4000"/>
          </w:tblGrid>
        </w:tblGridChange>
      </w:tblGrid>
      <w:tr>
        <w:trPr>
          <w:cantSplit w:val="1"/>
          <w:tblHeader w:val="1"/>
        </w:trPr>
        <w:tc>
          <w:tcPr>
            <w:shd w:fill="f258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58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9"/>
                <w:szCs w:val="19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Site institucional + hub de revenda + painel de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2581a"/>
                <w:sz w:val="20"/>
                <w:szCs w:val="20"/>
                <w:rtl w:val="0"/>
              </w:rPr>
              <w:t xml:space="preserve">R$ 1.500,00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Manutenção, hospedagem e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R$ 119,90/mês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Entrada na assinatura e saldo parcelado até a publicação.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Taxas à parte: domínio, e-mail profissional, hospedagem de vídeo e licenças de terceiros — cobrados direto do fornecedor e repassados sem acréscimo. A configuração técnica desses serviços está inclusa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pBdr>
          <w:bottom w:color="d9d9d9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7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Aprovação da proposta e assinatura do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7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Reunião de imersão e validação do mapa de páginas.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7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Entrega do acervo: fotos, textos, fichas técnicas e arquivos da biblioteca.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prático porque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c8c8c"/>
          <w:sz w:val="20"/>
          <w:szCs w:val="20"/>
          <w:rtl w:val="0"/>
        </w:rPr>
        <w:t xml:space="preserve">pratic: direto ao ponto.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Bdr>
        <w:top w:color="d9d9d9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8c8c8c"/>
        <w:sz w:val="18"/>
        <w:szCs w:val="18"/>
        <w:rtl w:val="0"/>
      </w:rPr>
      <w:t xml:space="preserve">pratic.Proposta  KALLAS Design · Site institucional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0"/>
      <w:gridCol w:w="8160"/>
      <w:tblGridChange w:id="0">
        <w:tblGrid>
          <w:gridCol w:w="1200"/>
          <w:gridCol w:w="81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6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476250" cy="4762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7">
          <w:pPr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color w:val="000000"/>
              <w:sz w:val="24"/>
              <w:szCs w:val="24"/>
              <w:rtl w:val="0"/>
            </w:rPr>
            <w:t xml:space="preserve">PROPOSTA - KALLAS DESIGN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