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C257C5F" w:rsidR="00193DA6" w:rsidRPr="00F67D4E" w:rsidRDefault="00193DA6" w:rsidP="002A6E9F">
      <w:pPr>
        <w:jc w:val="center"/>
        <w:rPr>
          <w:b/>
        </w:rPr>
      </w:pPr>
      <w:r w:rsidRPr="00F67D4E">
        <w:rPr>
          <w:b/>
          <w:sz w:val="20"/>
          <w:szCs w:val="20"/>
        </w:rPr>
        <w:t xml:space="preserve">CONTRATO DE TRABAJO </w:t>
      </w:r>
      <w:r w:rsidR="00F437AE">
        <w:rPr>
          <w:b/>
          <w:sz w:val="20"/>
          <w:szCs w:val="20"/>
        </w:rPr>
        <w:t xml:space="preserve">INDEFINIDO </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36EC7B5C" w:rsidR="00BD31AD" w:rsidRPr="0075403A" w:rsidRDefault="00BD31AD" w:rsidP="00BD31AD">
            <w:pPr>
              <w:rPr>
                <w:color w:val="000000" w:themeColor="text1"/>
                <w:sz w:val="20"/>
                <w:szCs w:val="20"/>
              </w:rPr>
            </w:pPr>
            <w:r w:rsidRPr="00241DBC">
              <w:rPr>
                <w:color w:val="FF0000"/>
                <w:sz w:val="20"/>
                <w:szCs w:val="20"/>
              </w:rPr>
              <w:t>CALLE 15 NO. 18-58</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416A448F" w:rsidR="00BD31AD" w:rsidRPr="00472D0F" w:rsidRDefault="00BD31AD" w:rsidP="00BD31AD">
            <w:pPr>
              <w:rPr>
                <w:color w:val="000000" w:themeColor="text1"/>
                <w:sz w:val="20"/>
                <w:szCs w:val="20"/>
              </w:rPr>
            </w:pPr>
            <w:r w:rsidRPr="00241DBC">
              <w:rPr>
                <w:color w:val="FF0000"/>
                <w:sz w:val="20"/>
                <w:szCs w:val="20"/>
              </w:rPr>
              <w:t>3133796990</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EDB42A3" w:rsidR="00BD31AD" w:rsidRPr="00472D0F" w:rsidRDefault="00BD31AD" w:rsidP="00BD31AD">
            <w:pPr>
              <w:pStyle w:val="TableParagraph"/>
              <w:spacing w:before="24" w:line="225" w:lineRule="auto"/>
              <w:ind w:left="0"/>
              <w:rPr>
                <w:color w:val="000000" w:themeColor="text1"/>
                <w:sz w:val="20"/>
                <w:szCs w:val="20"/>
              </w:rPr>
            </w:pPr>
            <w:r w:rsidRPr="00241DBC">
              <w:rPr>
                <w:color w:val="FF0000"/>
                <w:sz w:val="20"/>
                <w:szCs w:val="20"/>
              </w:rPr>
              <w:t xml:space="preserve">CONTADORA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77777777" w:rsidR="00BD31AD" w:rsidRPr="00472D0F" w:rsidRDefault="00BD31AD" w:rsidP="00BD31AD">
            <w:pPr>
              <w:pStyle w:val="TableParagraph"/>
              <w:ind w:left="0"/>
              <w:rPr>
                <w:color w:val="000000" w:themeColor="text1"/>
                <w:sz w:val="20"/>
                <w:szCs w:val="20"/>
              </w:rPr>
            </w:pPr>
            <w:r>
              <w:rPr>
                <w:color w:val="000000" w:themeColor="text1"/>
                <w:sz w:val="20"/>
                <w:szCs w:val="20"/>
              </w:rPr>
              <w:t>MANIZALES</w:t>
            </w:r>
            <w:r w:rsidRPr="00472D0F">
              <w:rPr>
                <w:color w:val="000000" w:themeColor="text1"/>
                <w:sz w:val="20"/>
                <w:szCs w:val="20"/>
              </w:rPr>
              <w:t xml:space="preserve"> – </w:t>
            </w:r>
            <w:r>
              <w:rPr>
                <w:color w:val="000000" w:themeColor="text1"/>
                <w:sz w:val="20"/>
                <w:szCs w:val="20"/>
              </w:rPr>
              <w:t>CALDAS</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2EE97520"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$ 2.320.000 (DOS MILLONES TRECIENTOS VEINTE MIL PESOS M/CTE.)  </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9ACF2FA" w14:textId="77777777" w:rsidR="00BD31AD" w:rsidRPr="005E26DD" w:rsidRDefault="00BD31AD" w:rsidP="00BD31AD">
            <w:pPr>
              <w:pStyle w:val="TableParagraph"/>
              <w:ind w:left="0"/>
              <w:rPr>
                <w:color w:val="FF0000"/>
                <w:sz w:val="20"/>
                <w:szCs w:val="20"/>
              </w:rPr>
            </w:pPr>
            <w:r w:rsidRPr="005E26DD">
              <w:rPr>
                <w:color w:val="FF0000"/>
                <w:sz w:val="20"/>
                <w:szCs w:val="20"/>
              </w:rPr>
              <w:t>TIEMPO COMPLETO</w:t>
            </w:r>
          </w:p>
          <w:p w14:paraId="3B0FE061" w14:textId="77777777" w:rsidR="00BD31AD" w:rsidRPr="005E26DD" w:rsidRDefault="00BD31AD" w:rsidP="00BD31AD">
            <w:pPr>
              <w:pStyle w:val="TableParagraph"/>
              <w:ind w:left="0"/>
              <w:rPr>
                <w:color w:val="FF0000"/>
                <w:sz w:val="20"/>
                <w:szCs w:val="20"/>
              </w:rPr>
            </w:pPr>
            <w:r w:rsidRPr="005E26DD">
              <w:rPr>
                <w:color w:val="FF0000"/>
                <w:sz w:val="20"/>
                <w:szCs w:val="20"/>
              </w:rPr>
              <w:t>MEDIO TIEMPO</w:t>
            </w:r>
          </w:p>
          <w:p w14:paraId="5DC883FF" w14:textId="77777777" w:rsidR="00BD31AD" w:rsidRPr="005E26DD" w:rsidRDefault="00BD31AD" w:rsidP="00BD31AD">
            <w:pPr>
              <w:pStyle w:val="TableParagraph"/>
              <w:ind w:left="0"/>
              <w:rPr>
                <w:color w:val="FF0000"/>
                <w:sz w:val="20"/>
                <w:szCs w:val="20"/>
              </w:rPr>
            </w:pPr>
            <w:r w:rsidRPr="005E26DD">
              <w:rPr>
                <w:color w:val="FF0000"/>
                <w:sz w:val="20"/>
                <w:szCs w:val="20"/>
              </w:rPr>
              <w:t>POR HORAS</w:t>
            </w:r>
          </w:p>
          <w:p w14:paraId="4A80F797" w14:textId="5CD38274" w:rsidR="00BD31AD" w:rsidRPr="00472D0F" w:rsidRDefault="00BD31AD" w:rsidP="00BD31AD">
            <w:pPr>
              <w:pStyle w:val="TableParagraph"/>
              <w:ind w:left="0"/>
              <w:rPr>
                <w:color w:val="000000" w:themeColor="text1"/>
                <w:sz w:val="20"/>
                <w:szCs w:val="20"/>
              </w:rPr>
            </w:pPr>
            <w:r w:rsidRPr="005E26DD">
              <w:rPr>
                <w:color w:val="FF0000"/>
                <w:sz w:val="20"/>
                <w:szCs w:val="20"/>
              </w:rPr>
              <w:t>AL DESTAJO</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B38E729" w14:textId="77777777" w:rsidR="00BD31AD" w:rsidRPr="000F7B05" w:rsidRDefault="00BD31AD" w:rsidP="00BD31AD">
            <w:pPr>
              <w:pStyle w:val="TableParagraph"/>
              <w:ind w:left="0"/>
              <w:rPr>
                <w:color w:val="FF0000"/>
                <w:sz w:val="20"/>
                <w:szCs w:val="20"/>
              </w:rPr>
            </w:pPr>
            <w:r w:rsidRPr="000F7B05">
              <w:rPr>
                <w:color w:val="FF0000"/>
                <w:sz w:val="20"/>
                <w:szCs w:val="20"/>
              </w:rPr>
              <w:t>INDEFINIDO</w:t>
            </w:r>
          </w:p>
          <w:p w14:paraId="2E505644" w14:textId="77777777" w:rsidR="00BD31AD" w:rsidRPr="000F7B05" w:rsidRDefault="00BD31AD" w:rsidP="00BD31AD">
            <w:pPr>
              <w:pStyle w:val="TableParagraph"/>
              <w:ind w:left="0"/>
              <w:rPr>
                <w:color w:val="FF0000"/>
                <w:sz w:val="20"/>
                <w:szCs w:val="20"/>
              </w:rPr>
            </w:pPr>
            <w:r w:rsidRPr="000F7B05">
              <w:rPr>
                <w:color w:val="FF0000"/>
                <w:sz w:val="20"/>
                <w:szCs w:val="20"/>
              </w:rPr>
              <w:t>A TERMINO FIJO</w:t>
            </w:r>
          </w:p>
          <w:p w14:paraId="4ED71526" w14:textId="122CA0FF" w:rsidR="00BD31AD" w:rsidRPr="000F7B05" w:rsidRDefault="00BD31AD" w:rsidP="00BD31AD">
            <w:pPr>
              <w:pStyle w:val="TableParagraph"/>
              <w:ind w:left="0"/>
              <w:rPr>
                <w:color w:val="FF0000"/>
                <w:sz w:val="20"/>
                <w:szCs w:val="20"/>
              </w:rPr>
            </w:pPr>
            <w:r w:rsidRPr="000F7B05">
              <w:rPr>
                <w:color w:val="FF0000"/>
                <w:sz w:val="20"/>
                <w:szCs w:val="20"/>
              </w:rPr>
              <w:t>POR DURACION DE OBRA O LABOR</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40E82B8D" w:rsidR="00BD31AD" w:rsidRPr="000F7B05" w:rsidRDefault="00BD31AD" w:rsidP="00BD31AD">
            <w:pPr>
              <w:pStyle w:val="TableParagraph"/>
              <w:ind w:left="0"/>
              <w:rPr>
                <w:color w:val="FF0000"/>
                <w:sz w:val="20"/>
                <w:szCs w:val="20"/>
              </w:rPr>
            </w:pPr>
            <w:r w:rsidRPr="000F7B05">
              <w:rPr>
                <w:color w:val="FF0000"/>
                <w:sz w:val="20"/>
                <w:szCs w:val="20"/>
              </w:rPr>
              <w:t>2 DE OCTUBRE DE 2023</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79F7F3B7"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FINALIZACI</w:t>
      </w:r>
      <w:r w:rsidR="009D4AEB">
        <w:rPr>
          <w:b/>
          <w:color w:val="000000" w:themeColor="text1"/>
        </w:rPr>
        <w:t>Ó</w:t>
      </w:r>
      <w:r>
        <w:rPr>
          <w:b/>
          <w:color w:val="000000" w:themeColor="text1"/>
        </w:rPr>
        <w:t xml:space="preserve">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653418EF"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0F7B05">
        <w:rPr>
          <w:b/>
          <w:color w:val="FF0000"/>
          <w:sz w:val="18"/>
          <w:szCs w:val="18"/>
        </w:rPr>
        <w:t xml:space="preserve">TÉRMINO </w:t>
      </w:r>
      <w:r w:rsidR="00450534" w:rsidRPr="000F7B05">
        <w:rPr>
          <w:b/>
          <w:color w:val="FF0000"/>
          <w:sz w:val="18"/>
          <w:szCs w:val="18"/>
        </w:rPr>
        <w:t>INDEFINIDO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w:t>
      </w:r>
      <w:r w:rsidRPr="0079637C">
        <w:rPr>
          <w:sz w:val="18"/>
          <w:szCs w:val="18"/>
        </w:rPr>
        <w:lastRenderedPageBreak/>
        <w:t xml:space="preserve">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EMPLEADOR. 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5CA82D7B"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C75A88">
        <w:rPr>
          <w:sz w:val="18"/>
          <w:szCs w:val="18"/>
        </w:rPr>
        <w:t>HT ASESORES</w:t>
      </w:r>
      <w:r w:rsidRPr="008F77EA">
        <w:rPr>
          <w:sz w:val="18"/>
          <w:szCs w:val="18"/>
        </w:rPr>
        <w:t xml:space="preserve"> S.A.S.</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2FE8CF20"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 xml:space="preserve">Realizar auditorías especiales y otros afines, cuando la Dirección de </w:t>
      </w:r>
      <w:r w:rsidR="00A00AA6">
        <w:rPr>
          <w:sz w:val="18"/>
          <w:szCs w:val="18"/>
        </w:rPr>
        <w:t>HT ASESORES</w:t>
      </w:r>
      <w:r w:rsidR="00A00AA6" w:rsidRPr="008F77EA">
        <w:rPr>
          <w:sz w:val="18"/>
          <w:szCs w:val="18"/>
        </w:rPr>
        <w:t xml:space="preserve"> S.A.S.</w:t>
      </w:r>
      <w:r w:rsidR="00A00AA6">
        <w:rPr>
          <w:sz w:val="18"/>
          <w:szCs w:val="18"/>
        </w:rPr>
        <w:t xml:space="preserve"> </w:t>
      </w:r>
      <w:r w:rsidRPr="008F77EA">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w:t>
      </w:r>
      <w:r w:rsidRPr="008F77EA">
        <w:rPr>
          <w:color w:val="000000" w:themeColor="text1"/>
          <w:sz w:val="18"/>
          <w:szCs w:val="18"/>
        </w:rPr>
        <w:lastRenderedPageBreak/>
        <w:t xml:space="preserve">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6E500A73" w14:textId="6270B647" w:rsidR="008F77EA" w:rsidRPr="008F77EA" w:rsidRDefault="008F77EA"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Otras que por la naturaleza de su cargo y en virtud de sus funciones le asigne la Dirección </w:t>
      </w:r>
      <w:r w:rsidRPr="008F77EA">
        <w:rPr>
          <w:sz w:val="18"/>
          <w:szCs w:val="18"/>
        </w:rPr>
        <w:t xml:space="preserve">de </w:t>
      </w:r>
      <w:r w:rsidR="00A00AA6">
        <w:rPr>
          <w:sz w:val="18"/>
          <w:szCs w:val="18"/>
        </w:rPr>
        <w:t>HT ASESORES</w:t>
      </w:r>
      <w:r w:rsidR="00A00AA6" w:rsidRPr="008F77EA">
        <w:rPr>
          <w:sz w:val="18"/>
          <w:szCs w:val="18"/>
        </w:rPr>
        <w:t xml:space="preserve"> </w:t>
      </w:r>
      <w:proofErr w:type="gramStart"/>
      <w:r w:rsidR="00A00AA6" w:rsidRPr="008F77EA">
        <w:rPr>
          <w:sz w:val="18"/>
          <w:szCs w:val="18"/>
        </w:rPr>
        <w:t>S.A.S.</w:t>
      </w:r>
      <w:r w:rsidRPr="008F77EA">
        <w:rPr>
          <w:sz w:val="18"/>
          <w:szCs w:val="18"/>
        </w:rPr>
        <w:t>.</w:t>
      </w:r>
      <w:proofErr w:type="gramEnd"/>
    </w:p>
    <w:p w14:paraId="46E11D2A" w14:textId="77777777" w:rsidR="00193DA6" w:rsidRPr="0079637C" w:rsidRDefault="00193DA6" w:rsidP="00C1333D">
      <w:pPr>
        <w:pStyle w:val="Textoindependiente"/>
        <w:spacing w:line="292" w:lineRule="auto"/>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 xml:space="preserve">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sidRPr="0079637C">
        <w:rPr>
          <w:sz w:val="18"/>
          <w:szCs w:val="18"/>
        </w:rPr>
        <w:t>contractuales,  convencionales</w:t>
      </w:r>
      <w:proofErr w:type="gramEnd"/>
      <w:r w:rsidRPr="0079637C">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w:t>
      </w:r>
      <w:proofErr w:type="gramStart"/>
      <w:r w:rsidRPr="0079637C">
        <w:rPr>
          <w:sz w:val="18"/>
          <w:szCs w:val="18"/>
        </w:rPr>
        <w:t>de  las</w:t>
      </w:r>
      <w:proofErr w:type="gramEnd"/>
      <w:r w:rsidRPr="0079637C">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471E6294"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E3D40" w:rsidRPr="00F07063">
        <w:rPr>
          <w:color w:val="FF0000"/>
          <w:sz w:val="18"/>
          <w:szCs w:val="18"/>
        </w:rPr>
        <w:t xml:space="preserve">indefinido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w:t>
      </w:r>
      <w:r w:rsidRPr="0079637C">
        <w:rPr>
          <w:sz w:val="18"/>
          <w:szCs w:val="18"/>
        </w:rPr>
        <w:lastRenderedPageBreak/>
        <w:t xml:space="preserve">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Esté contrato de todas maneras tendrá un período inicial de prueba hasta por dos (2) meses, lapso en el cual, cualquiera de las partes puede darlo por terminado unilateralmente, sin previo aviso y sin 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5238041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$ 2.320.000</w:t>
      </w:r>
      <w:r w:rsidRPr="00F07063">
        <w:rPr>
          <w:b/>
          <w:color w:val="FF0000"/>
          <w:sz w:val="18"/>
          <w:szCs w:val="18"/>
          <w:lang w:val="es-CO"/>
        </w:rPr>
        <w:t xml:space="preserve"> </w:t>
      </w:r>
      <w:r w:rsidRPr="00F07063">
        <w:rPr>
          <w:b/>
          <w:color w:val="FF0000"/>
          <w:sz w:val="20"/>
          <w:szCs w:val="20"/>
        </w:rPr>
        <w:t>(</w:t>
      </w:r>
      <w:r w:rsidR="00987BE8" w:rsidRPr="00F07063">
        <w:rPr>
          <w:b/>
          <w:color w:val="FF0000"/>
          <w:sz w:val="20"/>
          <w:szCs w:val="20"/>
        </w:rPr>
        <w:t xml:space="preserve">dos millones trecientos veinte mil </w:t>
      </w:r>
      <w:r w:rsidRPr="00F07063">
        <w:rPr>
          <w:b/>
          <w:color w:val="FF0000"/>
          <w:sz w:val="20"/>
          <w:szCs w:val="20"/>
        </w:rPr>
        <w:t>pesos</w:t>
      </w:r>
      <w:r w:rsidR="00B31A85" w:rsidRPr="00F07063">
        <w:rPr>
          <w:b/>
          <w:color w:val="FF0000"/>
          <w:sz w:val="20"/>
          <w:szCs w:val="20"/>
        </w:rPr>
        <w:t xml:space="preserve"> m</w:t>
      </w:r>
      <w:r w:rsidRPr="00F07063">
        <w:rPr>
          <w:b/>
          <w:color w:val="FF0000"/>
          <w:sz w:val="20"/>
          <w:szCs w:val="20"/>
        </w:rPr>
        <w:t>/</w:t>
      </w:r>
      <w:proofErr w:type="spellStart"/>
      <w:r w:rsidRPr="00F07063">
        <w:rPr>
          <w:b/>
          <w:color w:val="FF0000"/>
          <w:sz w:val="20"/>
          <w:szCs w:val="20"/>
        </w:rPr>
        <w:t>cte</w:t>
      </w:r>
      <w:proofErr w:type="spellEnd"/>
      <w:r w:rsidRPr="00F07063">
        <w:rPr>
          <w:b/>
          <w:color w:val="FF0000"/>
          <w:sz w:val="20"/>
          <w:szCs w:val="20"/>
        </w:rPr>
        <w:t>)</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 xml:space="preserve">por horas encomendada por el </w:t>
      </w:r>
      <w:proofErr w:type="gramStart"/>
      <w:r w:rsidR="002449B1" w:rsidRPr="0079637C">
        <w:rPr>
          <w:sz w:val="18"/>
          <w:szCs w:val="18"/>
          <w:lang w:val="es-CO"/>
        </w:rPr>
        <w:t>empleador,  siendo</w:t>
      </w:r>
      <w:proofErr w:type="gramEnd"/>
      <w:r w:rsidR="002449B1" w:rsidRPr="0079637C">
        <w:rPr>
          <w:sz w:val="18"/>
          <w:szCs w:val="18"/>
          <w:lang w:val="es-CO"/>
        </w:rPr>
        <w:t xml:space="preserve">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w:t>
      </w:r>
      <w:proofErr w:type="gramStart"/>
      <w:r w:rsidRPr="0079637C">
        <w:rPr>
          <w:sz w:val="18"/>
          <w:szCs w:val="18"/>
          <w:lang w:val="es-CO"/>
        </w:rPr>
        <w:t>Código  Sustantivo</w:t>
      </w:r>
      <w:proofErr w:type="gramEnd"/>
      <w:r w:rsidRPr="0079637C">
        <w:rPr>
          <w:sz w:val="18"/>
          <w:szCs w:val="18"/>
          <w:lang w:val="es-CO"/>
        </w:rPr>
        <w:t xml:space="preserve"> del Trabajo, podrán acordarse posteriores jornadas especiales  y  flexibles de trabajo y en general adecuarla a las diferentes formas previstas en el Código Sustantivo </w:t>
      </w:r>
      <w:r w:rsidRPr="0079637C">
        <w:rPr>
          <w:sz w:val="18"/>
          <w:szCs w:val="18"/>
          <w:lang w:val="es-CO"/>
        </w:rPr>
        <w:lastRenderedPageBreak/>
        <w:t xml:space="preserve">del Trabajo y en las Leyes 50 de 1990 y 789 de 2002. El tiempo utilizado por el </w:t>
      </w:r>
      <w:proofErr w:type="gramStart"/>
      <w:r w:rsidRPr="0079637C">
        <w:rPr>
          <w:sz w:val="18"/>
          <w:szCs w:val="18"/>
          <w:lang w:val="es-CO"/>
        </w:rPr>
        <w:t>TRABAJADOR  para</w:t>
      </w:r>
      <w:proofErr w:type="gramEnd"/>
      <w:r w:rsidRPr="0079637C">
        <w:rPr>
          <w:sz w:val="18"/>
          <w:szCs w:val="18"/>
          <w:lang w:val="es-CO"/>
        </w:rPr>
        <w:t xml:space="preserve">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TRABAJO    </w:t>
      </w:r>
      <w:proofErr w:type="gramStart"/>
      <w:r w:rsidRPr="0079637C">
        <w:rPr>
          <w:b/>
          <w:sz w:val="18"/>
          <w:szCs w:val="18"/>
          <w:lang w:val="es-CO"/>
        </w:rPr>
        <w:t xml:space="preserve">NOCTURNO,   </w:t>
      </w:r>
      <w:proofErr w:type="gramEnd"/>
      <w:r w:rsidRPr="0079637C">
        <w:rPr>
          <w:b/>
          <w:sz w:val="18"/>
          <w:szCs w:val="18"/>
          <w:lang w:val="es-CO"/>
        </w:rPr>
        <w:t xml:space="preserve">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w:t>
      </w:r>
      <w:proofErr w:type="gramStart"/>
      <w:r w:rsidRPr="0079637C">
        <w:rPr>
          <w:sz w:val="18"/>
          <w:szCs w:val="18"/>
          <w:lang w:val="es-CO"/>
        </w:rPr>
        <w:t>trabajo  se</w:t>
      </w:r>
      <w:proofErr w:type="gramEnd"/>
      <w:r w:rsidRPr="0079637C">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sidRPr="0079637C">
        <w:rPr>
          <w:sz w:val="18"/>
          <w:szCs w:val="18"/>
          <w:lang w:val="es-CO"/>
        </w:rPr>
        <w:t>y</w:t>
      </w:r>
      <w:proofErr w:type="gramEnd"/>
      <w:r w:rsidRPr="0079637C">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w:t>
      </w:r>
      <w:r w:rsidRPr="0079637C">
        <w:rPr>
          <w:sz w:val="18"/>
          <w:szCs w:val="18"/>
          <w:lang w:val="es-CO"/>
        </w:rPr>
        <w:lastRenderedPageBreak/>
        <w:t xml:space="preserve">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Incumplir la 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w:t>
      </w:r>
      <w:r w:rsidRPr="0079637C">
        <w:rPr>
          <w:sz w:val="18"/>
          <w:szCs w:val="18"/>
          <w:lang w:val="es-CO"/>
        </w:rPr>
        <w:lastRenderedPageBreak/>
        <w:t xml:space="preserve">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 xml:space="preserve">obstante, </w:t>
      </w:r>
      <w:proofErr w:type="gramStart"/>
      <w:r w:rsidR="00822584" w:rsidRPr="0079637C">
        <w:rPr>
          <w:sz w:val="18"/>
          <w:szCs w:val="18"/>
          <w:lang w:val="es-CO"/>
        </w:rPr>
        <w:t>quien</w:t>
      </w:r>
      <w:r w:rsidR="00193DA6" w:rsidRPr="0079637C">
        <w:rPr>
          <w:sz w:val="18"/>
          <w:szCs w:val="18"/>
          <w:lang w:val="es-CO"/>
        </w:rPr>
        <w:t xml:space="preserve">  participe</w:t>
      </w:r>
      <w:proofErr w:type="gramEnd"/>
      <w:r w:rsidR="00193DA6" w:rsidRPr="0079637C">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w:t>
      </w:r>
      <w:proofErr w:type="gramStart"/>
      <w:r w:rsidRPr="0079637C">
        <w:rPr>
          <w:sz w:val="18"/>
          <w:szCs w:val="18"/>
          <w:lang w:val="es-CO"/>
        </w:rPr>
        <w:t>se  obliga</w:t>
      </w:r>
      <w:proofErr w:type="gramEnd"/>
      <w:r w:rsidRPr="0079637C">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w:t>
      </w:r>
      <w:r w:rsidRPr="0079637C">
        <w:rPr>
          <w:sz w:val="18"/>
          <w:szCs w:val="18"/>
          <w:lang w:val="es-CO"/>
        </w:rPr>
        <w:lastRenderedPageBreak/>
        <w:t>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w:t>
      </w:r>
      <w:r w:rsidRPr="0079637C">
        <w:rPr>
          <w:sz w:val="18"/>
          <w:szCs w:val="18"/>
          <w:lang w:val="es-CO"/>
        </w:rPr>
        <w:lastRenderedPageBreak/>
        <w:t>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CLÁUSULA DÉCIMA CUARTA. CUMPLIMIENTO DE NORMAS SOBRE PREVENCIÓN Y AUTOGESTIÓN </w:t>
      </w:r>
      <w:proofErr w:type="gramStart"/>
      <w:r w:rsidRPr="0079637C">
        <w:rPr>
          <w:b/>
          <w:sz w:val="18"/>
          <w:szCs w:val="18"/>
          <w:lang w:val="es-CO"/>
        </w:rPr>
        <w:t>DEL  RIESGO</w:t>
      </w:r>
      <w:proofErr w:type="gramEnd"/>
      <w:r w:rsidRPr="0079637C">
        <w:rPr>
          <w:b/>
          <w:sz w:val="18"/>
          <w:szCs w:val="18"/>
          <w:lang w:val="es-CO"/>
        </w:rPr>
        <w:t xml:space="preserve">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57D62576"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E41D67" w:rsidRPr="0079637C">
        <w:rPr>
          <w:color w:val="000000" w:themeColor="text1"/>
          <w:sz w:val="18"/>
          <w:szCs w:val="18"/>
        </w:rPr>
        <w:t>(</w:t>
      </w:r>
      <w:r w:rsidR="00987BE8" w:rsidRPr="00F07063">
        <w:rPr>
          <w:color w:val="FF0000"/>
          <w:sz w:val="18"/>
          <w:szCs w:val="18"/>
        </w:rPr>
        <w:t>29</w:t>
      </w:r>
      <w:r w:rsidRPr="00F07063">
        <w:rPr>
          <w:color w:val="FF0000"/>
          <w:sz w:val="18"/>
          <w:szCs w:val="18"/>
        </w:rPr>
        <w:t>) días del mes de</w:t>
      </w:r>
      <w:r w:rsidR="00DF6AE8" w:rsidRPr="00F07063">
        <w:rPr>
          <w:color w:val="FF0000"/>
          <w:sz w:val="18"/>
          <w:szCs w:val="18"/>
        </w:rPr>
        <w:t xml:space="preserve"> </w:t>
      </w:r>
      <w:r w:rsidR="00987BE8" w:rsidRPr="00F07063">
        <w:rPr>
          <w:color w:val="FF0000"/>
          <w:sz w:val="18"/>
          <w:szCs w:val="18"/>
        </w:rPr>
        <w:t>septiembre</w:t>
      </w:r>
      <w:r w:rsidRPr="00F07063">
        <w:rPr>
          <w:color w:val="FF0000"/>
          <w:sz w:val="18"/>
          <w:szCs w:val="18"/>
        </w:rPr>
        <w:t xml:space="preserve"> de 202</w:t>
      </w:r>
      <w:r w:rsidR="00C75A88" w:rsidRPr="00F07063">
        <w:rPr>
          <w:color w:val="FF0000"/>
          <w:sz w:val="18"/>
          <w:szCs w:val="18"/>
        </w:rPr>
        <w:t>3</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lastRenderedPageBreak/>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D453E" w14:textId="77777777" w:rsidR="009A38E2" w:rsidRDefault="009A38E2">
      <w:r>
        <w:separator/>
      </w:r>
    </w:p>
  </w:endnote>
  <w:endnote w:type="continuationSeparator" w:id="0">
    <w:p w14:paraId="62EF4191" w14:textId="77777777" w:rsidR="009A38E2" w:rsidRDefault="009A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A0E79" w14:textId="77777777" w:rsidR="009A38E2" w:rsidRDefault="009A38E2">
      <w:r>
        <w:separator/>
      </w:r>
    </w:p>
  </w:footnote>
  <w:footnote w:type="continuationSeparator" w:id="0">
    <w:p w14:paraId="6762C9A1" w14:textId="77777777" w:rsidR="009A38E2" w:rsidRDefault="009A3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3752E"/>
    <w:rsid w:val="00050665"/>
    <w:rsid w:val="00054725"/>
    <w:rsid w:val="0005721E"/>
    <w:rsid w:val="00057CE6"/>
    <w:rsid w:val="0007726D"/>
    <w:rsid w:val="000A3E98"/>
    <w:rsid w:val="000C6872"/>
    <w:rsid w:val="000F7B05"/>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E0ABD"/>
    <w:rsid w:val="001E3D40"/>
    <w:rsid w:val="001E5DAF"/>
    <w:rsid w:val="001F346E"/>
    <w:rsid w:val="001F47FF"/>
    <w:rsid w:val="00240D4B"/>
    <w:rsid w:val="00241DBC"/>
    <w:rsid w:val="00244857"/>
    <w:rsid w:val="002449B1"/>
    <w:rsid w:val="00262385"/>
    <w:rsid w:val="00262C2D"/>
    <w:rsid w:val="00285E90"/>
    <w:rsid w:val="00286008"/>
    <w:rsid w:val="002951CF"/>
    <w:rsid w:val="00296B3F"/>
    <w:rsid w:val="002A6E9F"/>
    <w:rsid w:val="002D2BDC"/>
    <w:rsid w:val="002D649D"/>
    <w:rsid w:val="002F67D6"/>
    <w:rsid w:val="00304D44"/>
    <w:rsid w:val="00315C85"/>
    <w:rsid w:val="00316B62"/>
    <w:rsid w:val="00317AD5"/>
    <w:rsid w:val="00351DD0"/>
    <w:rsid w:val="00356CFD"/>
    <w:rsid w:val="00357729"/>
    <w:rsid w:val="00376E07"/>
    <w:rsid w:val="0038064B"/>
    <w:rsid w:val="00393B00"/>
    <w:rsid w:val="003F25F1"/>
    <w:rsid w:val="003F65A7"/>
    <w:rsid w:val="004228A1"/>
    <w:rsid w:val="00434C18"/>
    <w:rsid w:val="0043658A"/>
    <w:rsid w:val="00450534"/>
    <w:rsid w:val="00472D0F"/>
    <w:rsid w:val="00486F8E"/>
    <w:rsid w:val="004A61D6"/>
    <w:rsid w:val="004B183F"/>
    <w:rsid w:val="004B2A70"/>
    <w:rsid w:val="004C43A4"/>
    <w:rsid w:val="004C7200"/>
    <w:rsid w:val="004D03FA"/>
    <w:rsid w:val="0050613E"/>
    <w:rsid w:val="00534316"/>
    <w:rsid w:val="00541003"/>
    <w:rsid w:val="005479F6"/>
    <w:rsid w:val="00551F59"/>
    <w:rsid w:val="005537BE"/>
    <w:rsid w:val="0055666E"/>
    <w:rsid w:val="00574602"/>
    <w:rsid w:val="005807D8"/>
    <w:rsid w:val="00581814"/>
    <w:rsid w:val="005845F5"/>
    <w:rsid w:val="005978ED"/>
    <w:rsid w:val="005B1416"/>
    <w:rsid w:val="005C3F01"/>
    <w:rsid w:val="005E26DD"/>
    <w:rsid w:val="00631A7C"/>
    <w:rsid w:val="006368B7"/>
    <w:rsid w:val="00665F74"/>
    <w:rsid w:val="00670034"/>
    <w:rsid w:val="0067281E"/>
    <w:rsid w:val="00676912"/>
    <w:rsid w:val="006A7BF6"/>
    <w:rsid w:val="006C2290"/>
    <w:rsid w:val="006D0C71"/>
    <w:rsid w:val="006D4642"/>
    <w:rsid w:val="00710AB2"/>
    <w:rsid w:val="007122F2"/>
    <w:rsid w:val="007216DA"/>
    <w:rsid w:val="007249C7"/>
    <w:rsid w:val="0073200D"/>
    <w:rsid w:val="00745B06"/>
    <w:rsid w:val="0075403A"/>
    <w:rsid w:val="007647CC"/>
    <w:rsid w:val="0076789F"/>
    <w:rsid w:val="0077008F"/>
    <w:rsid w:val="0078604D"/>
    <w:rsid w:val="0079637C"/>
    <w:rsid w:val="007B14DC"/>
    <w:rsid w:val="007D0FDE"/>
    <w:rsid w:val="007E741C"/>
    <w:rsid w:val="00822584"/>
    <w:rsid w:val="00864954"/>
    <w:rsid w:val="00867BC9"/>
    <w:rsid w:val="008B2CB5"/>
    <w:rsid w:val="008B38D2"/>
    <w:rsid w:val="008B7C19"/>
    <w:rsid w:val="008F5A81"/>
    <w:rsid w:val="008F77EA"/>
    <w:rsid w:val="0090527F"/>
    <w:rsid w:val="009115DC"/>
    <w:rsid w:val="0095154C"/>
    <w:rsid w:val="00954505"/>
    <w:rsid w:val="00987BE8"/>
    <w:rsid w:val="009949B4"/>
    <w:rsid w:val="009A38E2"/>
    <w:rsid w:val="009D4AEB"/>
    <w:rsid w:val="009D6BCA"/>
    <w:rsid w:val="009E62D0"/>
    <w:rsid w:val="00A00AA6"/>
    <w:rsid w:val="00A0415C"/>
    <w:rsid w:val="00A41133"/>
    <w:rsid w:val="00A544F0"/>
    <w:rsid w:val="00A722DD"/>
    <w:rsid w:val="00A76478"/>
    <w:rsid w:val="00A937D4"/>
    <w:rsid w:val="00A950BE"/>
    <w:rsid w:val="00AA6F45"/>
    <w:rsid w:val="00AA7D10"/>
    <w:rsid w:val="00AB3B25"/>
    <w:rsid w:val="00AF61E8"/>
    <w:rsid w:val="00B01663"/>
    <w:rsid w:val="00B06DA6"/>
    <w:rsid w:val="00B111EE"/>
    <w:rsid w:val="00B2346A"/>
    <w:rsid w:val="00B31A85"/>
    <w:rsid w:val="00B45C0C"/>
    <w:rsid w:val="00B723F7"/>
    <w:rsid w:val="00BB64A1"/>
    <w:rsid w:val="00BD13D6"/>
    <w:rsid w:val="00BD155B"/>
    <w:rsid w:val="00BD31AD"/>
    <w:rsid w:val="00C12274"/>
    <w:rsid w:val="00C1333D"/>
    <w:rsid w:val="00C164BD"/>
    <w:rsid w:val="00C25900"/>
    <w:rsid w:val="00C5546E"/>
    <w:rsid w:val="00C61EA6"/>
    <w:rsid w:val="00C75A88"/>
    <w:rsid w:val="00C93BC1"/>
    <w:rsid w:val="00CD60FF"/>
    <w:rsid w:val="00CF55A0"/>
    <w:rsid w:val="00CF5813"/>
    <w:rsid w:val="00D44EF5"/>
    <w:rsid w:val="00D46C8F"/>
    <w:rsid w:val="00D54B14"/>
    <w:rsid w:val="00D5743D"/>
    <w:rsid w:val="00D66AC5"/>
    <w:rsid w:val="00D8625B"/>
    <w:rsid w:val="00D92E0F"/>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91CD4"/>
    <w:rsid w:val="00EA1B52"/>
    <w:rsid w:val="00EB4DE0"/>
    <w:rsid w:val="00EB762B"/>
    <w:rsid w:val="00EE05B2"/>
    <w:rsid w:val="00EF1062"/>
    <w:rsid w:val="00F07063"/>
    <w:rsid w:val="00F219B7"/>
    <w:rsid w:val="00F27006"/>
    <w:rsid w:val="00F36687"/>
    <w:rsid w:val="00F437AE"/>
    <w:rsid w:val="00F60BBF"/>
    <w:rsid w:val="00F80571"/>
    <w:rsid w:val="00F97449"/>
    <w:rsid w:val="00FA5227"/>
    <w:rsid w:val="00FB2043"/>
    <w:rsid w:val="00FD278D"/>
    <w:rsid w:val="00FD3679"/>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7326</Words>
  <Characters>40297</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20</cp:revision>
  <cp:lastPrinted>2021-07-07T21:42:00Z</cp:lastPrinted>
  <dcterms:created xsi:type="dcterms:W3CDTF">2024-08-29T21:59:00Z</dcterms:created>
  <dcterms:modified xsi:type="dcterms:W3CDTF">2024-09-09T19:14:00Z</dcterms:modified>
</cp:coreProperties>
</file>