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 w:hAnsi="仿宋" w:eastAsia="仿宋" w:cs="仿宋"/>
          <w:b/>
          <w:bCs/>
          <w:sz w:val="40"/>
          <w:szCs w:val="48"/>
          <w:lang w:val="en-US" w:eastAsia="zh-CN"/>
        </w:rPr>
      </w:pPr>
      <w:r>
        <w:rPr>
          <w:rFonts w:hint="eastAsia" w:ascii="仿宋" w:hAnsi="仿宋" w:eastAsia="仿宋" w:cs="仿宋"/>
          <w:b/>
          <w:bCs/>
          <w:sz w:val="40"/>
          <w:szCs w:val="48"/>
        </w:rPr>
        <w:t>顺景·石上清泉项目</w:t>
      </w:r>
      <w:r>
        <w:rPr>
          <w:rFonts w:hint="eastAsia" w:ascii="仿宋" w:hAnsi="仿宋" w:eastAsia="仿宋" w:cs="仿宋"/>
          <w:b/>
          <w:bCs/>
          <w:sz w:val="40"/>
          <w:szCs w:val="48"/>
          <w:lang w:val="en-US" w:eastAsia="zh-CN"/>
        </w:rPr>
        <w:t>资产情况</w:t>
      </w:r>
    </w:p>
    <w:p>
      <w:pPr>
        <w:pStyle w:val="2"/>
        <w:numPr>
          <w:ilvl w:val="0"/>
          <w:numId w:val="2"/>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项目本体</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顺景·石上清泉项目位于北京市朝阳区东四环与北四环交口处，是四环内唯一被城市永久绿化带包围的豪宅项目。项目整体采用上浮式建筑设计，总占地面积43.12万平米，总建筑面积18.24万平米，其中住宅面积7.06万平米，商业面积8.46万平米，车库面积2.72万平米。项目已完成开发建设，五证齐全且均已竣工验收。住宅部分已售1.93万平米，剩余可售住宅面积为5.13万平米。</w:t>
      </w:r>
    </w:p>
    <w:p>
      <w:pPr>
        <w:pStyle w:val="2"/>
        <w:numPr>
          <w:ilvl w:val="0"/>
          <w:numId w:val="2"/>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项目资产</w:t>
      </w:r>
    </w:p>
    <w:p>
      <w:pPr>
        <w:ind w:firstLine="560" w:firstLineChars="200"/>
        <w:rPr>
          <w:rFonts w:ascii="仿宋" w:hAnsi="仿宋" w:eastAsia="仿宋" w:cs="仿宋"/>
          <w:sz w:val="28"/>
          <w:szCs w:val="28"/>
        </w:rPr>
      </w:pPr>
      <w:r>
        <w:rPr>
          <w:rFonts w:hint="eastAsia" w:ascii="仿宋" w:hAnsi="仿宋" w:eastAsia="仿宋" w:cs="仿宋"/>
          <w:sz w:val="28"/>
          <w:szCs w:val="28"/>
        </w:rPr>
        <w:t>项目共14栋建筑单体，共计住宅127套，第1栋、6栋、7栋与8栋共计31套面积约1.93万平米已售出并交付，剩余96套住宅，面积约5.13万平米。其中第2栋、3栋为独栋建筑；第4栋、5栋为一梯一户；第9栋为三梯两户；第10栋、11栋与12栋为两梯两户；第13栋为三梯四户；第14栋为两梯四户。</w:t>
      </w:r>
    </w:p>
    <w:p>
      <w:pPr>
        <w:ind w:firstLine="560" w:firstLineChars="200"/>
        <w:rPr>
          <w:rFonts w:ascii="仿宋" w:hAnsi="仿宋" w:eastAsia="仿宋" w:cs="仿宋"/>
          <w:sz w:val="28"/>
          <w:szCs w:val="28"/>
        </w:rPr>
      </w:pPr>
      <w:r>
        <w:rPr>
          <w:rFonts w:hint="eastAsia" w:ascii="仿宋" w:hAnsi="仿宋" w:eastAsia="仿宋" w:cs="仿宋"/>
          <w:sz w:val="28"/>
          <w:szCs w:val="28"/>
        </w:rPr>
        <w:t>项目剩余其他可售资产为：</w:t>
      </w:r>
    </w:p>
    <w:p>
      <w:pPr>
        <w:ind w:firstLine="560" w:firstLineChars="200"/>
        <w:rPr>
          <w:rFonts w:ascii="仿宋" w:hAnsi="仿宋" w:eastAsia="仿宋" w:cs="仿宋"/>
          <w:sz w:val="28"/>
          <w:szCs w:val="28"/>
        </w:rPr>
      </w:pPr>
      <w:r>
        <w:rPr>
          <w:rFonts w:hint="eastAsia" w:ascii="仿宋" w:hAnsi="仿宋" w:eastAsia="仿宋" w:cs="仿宋"/>
          <w:sz w:val="28"/>
          <w:szCs w:val="28"/>
        </w:rPr>
        <w:t>（1）商业面积为8.46万平米，其中地下综合（-201、-202）：面积为32092.94㎡，分为</w:t>
      </w:r>
      <w:r>
        <w:rPr>
          <w:rFonts w:hint="eastAsia" w:ascii="仿宋" w:hAnsi="仿宋" w:eastAsia="仿宋" w:cs="仿宋"/>
          <w:sz w:val="28"/>
          <w:szCs w:val="28"/>
          <w:lang w:val="en-US" w:eastAsia="zh-CN"/>
        </w:rPr>
        <w:t>三</w:t>
      </w:r>
      <w:r>
        <w:rPr>
          <w:rFonts w:hint="eastAsia" w:ascii="仿宋" w:hAnsi="仿宋" w:eastAsia="仿宋" w:cs="仿宋"/>
          <w:sz w:val="28"/>
          <w:szCs w:val="28"/>
        </w:rPr>
        <w:t>个部分：①顺峰餐饮，大概8400㎡；②温泉酒店，大厅区域及104间客房，18000㎡左右；③温泉（VIP+普通）部分，大概在6000㎡。地下水世界（温泉）（-301、-302）：面积为52531.76㎡。</w:t>
      </w:r>
    </w:p>
    <w:p>
      <w:pPr>
        <w:ind w:firstLine="560" w:firstLineChars="200"/>
        <w:rPr>
          <w:rFonts w:ascii="仿宋" w:hAnsi="仿宋" w:eastAsia="仿宋" w:cs="仿宋"/>
          <w:sz w:val="28"/>
          <w:szCs w:val="28"/>
        </w:rPr>
      </w:pPr>
      <w:r>
        <w:rPr>
          <w:rFonts w:hint="eastAsia" w:ascii="仿宋" w:hAnsi="仿宋" w:eastAsia="仿宋" w:cs="仿宋"/>
          <w:sz w:val="28"/>
          <w:szCs w:val="28"/>
        </w:rPr>
        <w:t>（2）车库（负一层，实际二层）：面积2.72万平米，车位53</w:t>
      </w:r>
      <w:r>
        <w:rPr>
          <w:rFonts w:hint="eastAsia" w:ascii="仿宋" w:hAnsi="仿宋" w:eastAsia="仿宋" w:cs="仿宋"/>
          <w:sz w:val="28"/>
          <w:szCs w:val="28"/>
          <w:lang w:val="en-US" w:eastAsia="zh-CN"/>
        </w:rPr>
        <w:t>3</w:t>
      </w:r>
      <w:r>
        <w:rPr>
          <w:rFonts w:hint="eastAsia" w:ascii="仿宋" w:hAnsi="仿宋" w:eastAsia="仿宋" w:cs="仿宋"/>
          <w:sz w:val="28"/>
          <w:szCs w:val="28"/>
        </w:rPr>
        <w:t>个。</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20"/>
        <w:gridCol w:w="1420"/>
        <w:gridCol w:w="1420"/>
        <w:gridCol w:w="1851"/>
        <w:gridCol w:w="9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vAlign w:val="center"/>
          </w:tcPr>
          <w:p>
            <w:pPr>
              <w:jc w:val="center"/>
              <w:rPr>
                <w:rFonts w:ascii="仿宋" w:hAnsi="仿宋" w:eastAsia="仿宋" w:cs="仿宋"/>
                <w:sz w:val="28"/>
                <w:szCs w:val="28"/>
              </w:rPr>
            </w:pPr>
            <w:r>
              <w:rPr>
                <w:rFonts w:hint="eastAsia" w:ascii="仿宋" w:hAnsi="仿宋" w:eastAsia="仿宋" w:cs="仿宋"/>
                <w:b/>
                <w:bCs/>
                <w:sz w:val="22"/>
                <w:szCs w:val="22"/>
              </w:rPr>
              <w:t>顺景·石上清泉项目住宅未售说明一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Align w:val="center"/>
          </w:tcPr>
          <w:p>
            <w:pPr>
              <w:jc w:val="center"/>
              <w:rPr>
                <w:rFonts w:ascii="仿宋" w:hAnsi="仿宋" w:eastAsia="仿宋" w:cs="仿宋"/>
                <w:sz w:val="22"/>
                <w:szCs w:val="22"/>
              </w:rPr>
            </w:pPr>
            <w:r>
              <w:rPr>
                <w:rFonts w:ascii="仿宋" w:hAnsi="仿宋" w:eastAsia="仿宋" w:cs="仿宋"/>
                <w:sz w:val="22"/>
                <w:szCs w:val="22"/>
              </w:rPr>
              <w:t>产品类型</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面积区间</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套 数</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总面积</w:t>
            </w:r>
          </w:p>
        </w:tc>
        <w:tc>
          <w:tcPr>
            <w:tcW w:w="1086" w:type="pct"/>
            <w:vAlign w:val="center"/>
          </w:tcPr>
          <w:p>
            <w:pPr>
              <w:jc w:val="center"/>
              <w:rPr>
                <w:rFonts w:ascii="仿宋" w:hAnsi="仿宋" w:eastAsia="仿宋" w:cs="仿宋"/>
                <w:sz w:val="22"/>
                <w:szCs w:val="22"/>
              </w:rPr>
            </w:pPr>
            <w:r>
              <w:rPr>
                <w:rFonts w:ascii="仿宋" w:hAnsi="仿宋" w:eastAsia="仿宋" w:cs="仿宋"/>
                <w:sz w:val="22"/>
                <w:szCs w:val="22"/>
              </w:rPr>
              <w:t>合计</w:t>
            </w:r>
          </w:p>
        </w:tc>
        <w:tc>
          <w:tcPr>
            <w:tcW w:w="582" w:type="pct"/>
            <w:vAlign w:val="center"/>
          </w:tcPr>
          <w:p>
            <w:pPr>
              <w:jc w:val="center"/>
              <w:rPr>
                <w:rFonts w:ascii="仿宋" w:hAnsi="仿宋" w:eastAsia="仿宋" w:cs="仿宋"/>
                <w:sz w:val="22"/>
                <w:szCs w:val="22"/>
              </w:rPr>
            </w:pPr>
            <w:r>
              <w:rPr>
                <w:rFonts w:ascii="仿宋" w:hAnsi="仿宋" w:eastAsia="仿宋" w:cs="仿宋"/>
                <w:sz w:val="22"/>
                <w:szCs w:val="22"/>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改善型住宅</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300以下</w:t>
            </w:r>
          </w:p>
        </w:tc>
        <w:tc>
          <w:tcPr>
            <w:tcW w:w="833" w:type="pct"/>
            <w:vAlign w:val="center"/>
          </w:tcPr>
          <w:p>
            <w:pPr>
              <w:jc w:val="center"/>
              <w:rPr>
                <w:rFonts w:ascii="仿宋" w:hAnsi="仿宋" w:eastAsia="仿宋" w:cs="仿宋"/>
                <w:sz w:val="22"/>
                <w:szCs w:val="22"/>
              </w:rPr>
            </w:pPr>
            <w:r>
              <w:rPr>
                <w:rFonts w:hint="eastAsia" w:ascii="仿宋" w:hAnsi="仿宋" w:eastAsia="仿宋" w:cs="仿宋"/>
                <w:sz w:val="22"/>
                <w:szCs w:val="22"/>
              </w:rPr>
              <w:t>32</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8,758.16</w:t>
            </w:r>
          </w:p>
        </w:tc>
        <w:tc>
          <w:tcPr>
            <w:tcW w:w="1086" w:type="pct"/>
            <w:vMerge w:val="restart"/>
            <w:vAlign w:val="center"/>
          </w:tcPr>
          <w:p>
            <w:pPr>
              <w:jc w:val="center"/>
              <w:rPr>
                <w:rFonts w:ascii="仿宋" w:hAnsi="仿宋" w:eastAsia="仿宋" w:cs="仿宋"/>
                <w:sz w:val="22"/>
                <w:szCs w:val="22"/>
              </w:rPr>
            </w:pPr>
            <w:r>
              <w:rPr>
                <w:rFonts w:ascii="仿宋" w:hAnsi="仿宋" w:eastAsia="仿宋" w:cs="仿宋"/>
                <w:sz w:val="22"/>
                <w:szCs w:val="22"/>
              </w:rPr>
              <w:t>39</w:t>
            </w:r>
            <w:r>
              <w:rPr>
                <w:rFonts w:hint="eastAsia" w:ascii="仿宋" w:hAnsi="仿宋" w:eastAsia="仿宋" w:cs="仿宋"/>
                <w:sz w:val="22"/>
                <w:szCs w:val="22"/>
              </w:rPr>
              <w:t>套</w:t>
            </w:r>
          </w:p>
          <w:p>
            <w:pPr>
              <w:jc w:val="center"/>
              <w:rPr>
                <w:rFonts w:ascii="仿宋" w:hAnsi="仿宋" w:eastAsia="仿宋" w:cs="仿宋"/>
                <w:sz w:val="22"/>
                <w:szCs w:val="22"/>
              </w:rPr>
            </w:pPr>
            <w:r>
              <w:rPr>
                <w:rFonts w:ascii="仿宋" w:hAnsi="仿宋" w:eastAsia="仿宋" w:cs="仿宋"/>
                <w:sz w:val="22"/>
                <w:szCs w:val="22"/>
              </w:rPr>
              <w:t>11322.76</w:t>
            </w:r>
            <w:r>
              <w:rPr>
                <w:rFonts w:hint="eastAsia" w:ascii="仿宋" w:hAnsi="仿宋" w:eastAsia="仿宋" w:cs="仿宋"/>
                <w:sz w:val="22"/>
                <w:szCs w:val="22"/>
              </w:rPr>
              <w:t>平米</w:t>
            </w:r>
          </w:p>
        </w:tc>
        <w:tc>
          <w:tcPr>
            <w:tcW w:w="582" w:type="pct"/>
            <w:vMerge w:val="restart"/>
            <w:vAlign w:val="center"/>
          </w:tcPr>
          <w:p>
            <w:pPr>
              <w:widowControl/>
              <w:jc w:val="center"/>
              <w:rPr>
                <w:rFonts w:ascii="仿宋" w:hAnsi="仿宋" w:eastAsia="仿宋" w:cs="仿宋"/>
                <w:sz w:val="22"/>
                <w:szCs w:val="22"/>
              </w:rPr>
            </w:pPr>
            <w:r>
              <w:rPr>
                <w:rFonts w:ascii="仿宋" w:hAnsi="仿宋" w:eastAsia="仿宋" w:cs="仿宋"/>
                <w:sz w:val="22"/>
                <w:szCs w:val="22"/>
              </w:rPr>
              <w:t>22%</w:t>
            </w:r>
          </w:p>
          <w:p>
            <w:pPr>
              <w:widowControl/>
              <w:jc w:val="center"/>
              <w:rPr>
                <w:rFonts w:ascii="仿宋" w:hAnsi="仿宋" w:eastAsia="仿宋" w:cs="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Merge w:val="continue"/>
            <w:vAlign w:val="center"/>
          </w:tcPr>
          <w:p>
            <w:pPr>
              <w:jc w:val="center"/>
              <w:rPr>
                <w:rFonts w:ascii="仿宋" w:hAnsi="仿宋" w:eastAsia="仿宋" w:cs="仿宋"/>
                <w:sz w:val="22"/>
                <w:szCs w:val="22"/>
              </w:rPr>
            </w:pP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300-400</w:t>
            </w:r>
          </w:p>
        </w:tc>
        <w:tc>
          <w:tcPr>
            <w:tcW w:w="833" w:type="pct"/>
            <w:vAlign w:val="center"/>
          </w:tcPr>
          <w:p>
            <w:pPr>
              <w:jc w:val="center"/>
              <w:rPr>
                <w:rFonts w:ascii="仿宋" w:hAnsi="仿宋" w:eastAsia="仿宋" w:cs="仿宋"/>
                <w:sz w:val="22"/>
                <w:szCs w:val="22"/>
              </w:rPr>
            </w:pPr>
            <w:r>
              <w:rPr>
                <w:rFonts w:hint="eastAsia" w:ascii="仿宋" w:hAnsi="仿宋" w:eastAsia="仿宋" w:cs="仿宋"/>
                <w:sz w:val="22"/>
                <w:szCs w:val="22"/>
              </w:rPr>
              <w:t>5</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1,575.50</w:t>
            </w:r>
          </w:p>
        </w:tc>
        <w:tc>
          <w:tcPr>
            <w:tcW w:w="1086" w:type="pct"/>
            <w:vMerge w:val="continue"/>
            <w:vAlign w:val="center"/>
          </w:tcPr>
          <w:p>
            <w:pPr>
              <w:jc w:val="center"/>
              <w:rPr>
                <w:rFonts w:ascii="仿宋" w:hAnsi="仿宋" w:eastAsia="仿宋" w:cs="仿宋"/>
                <w:sz w:val="22"/>
                <w:szCs w:val="22"/>
              </w:rPr>
            </w:pPr>
          </w:p>
        </w:tc>
        <w:tc>
          <w:tcPr>
            <w:tcW w:w="582" w:type="pct"/>
            <w:vMerge w:val="continue"/>
            <w:vAlign w:val="center"/>
          </w:tcPr>
          <w:p>
            <w:pPr>
              <w:jc w:val="center"/>
              <w:rPr>
                <w:rFonts w:ascii="仿宋" w:hAnsi="仿宋" w:eastAsia="仿宋" w:cs="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Merge w:val="continue"/>
            <w:vAlign w:val="center"/>
          </w:tcPr>
          <w:p>
            <w:pPr>
              <w:jc w:val="center"/>
              <w:rPr>
                <w:rFonts w:ascii="仿宋" w:hAnsi="仿宋" w:eastAsia="仿宋" w:cs="仿宋"/>
                <w:sz w:val="22"/>
                <w:szCs w:val="22"/>
              </w:rPr>
            </w:pP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400-50</w:t>
            </w:r>
            <w:r>
              <w:rPr>
                <w:rFonts w:hint="eastAsia" w:ascii="仿宋" w:hAnsi="仿宋" w:eastAsia="仿宋" w:cs="仿宋"/>
                <w:sz w:val="22"/>
                <w:szCs w:val="22"/>
              </w:rPr>
              <w:t>0</w:t>
            </w:r>
          </w:p>
        </w:tc>
        <w:tc>
          <w:tcPr>
            <w:tcW w:w="833" w:type="pct"/>
            <w:vAlign w:val="center"/>
          </w:tcPr>
          <w:p>
            <w:pPr>
              <w:jc w:val="center"/>
              <w:rPr>
                <w:rFonts w:ascii="仿宋" w:hAnsi="仿宋" w:eastAsia="仿宋" w:cs="仿宋"/>
                <w:sz w:val="22"/>
                <w:szCs w:val="22"/>
              </w:rPr>
            </w:pPr>
            <w:r>
              <w:rPr>
                <w:rFonts w:hint="eastAsia" w:ascii="仿宋" w:hAnsi="仿宋" w:eastAsia="仿宋" w:cs="仿宋"/>
                <w:sz w:val="22"/>
                <w:szCs w:val="22"/>
              </w:rPr>
              <w:t>2</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989.10</w:t>
            </w:r>
          </w:p>
        </w:tc>
        <w:tc>
          <w:tcPr>
            <w:tcW w:w="1086" w:type="pct"/>
            <w:vMerge w:val="continue"/>
            <w:vAlign w:val="center"/>
          </w:tcPr>
          <w:p>
            <w:pPr>
              <w:jc w:val="center"/>
              <w:rPr>
                <w:rFonts w:ascii="仿宋" w:hAnsi="仿宋" w:eastAsia="仿宋" w:cs="仿宋"/>
                <w:sz w:val="28"/>
                <w:szCs w:val="28"/>
              </w:rPr>
            </w:pPr>
          </w:p>
        </w:tc>
        <w:tc>
          <w:tcPr>
            <w:tcW w:w="582" w:type="pct"/>
            <w:vMerge w:val="continue"/>
            <w:vAlign w:val="center"/>
          </w:tcPr>
          <w:p>
            <w:pPr>
              <w:jc w:val="center"/>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Merge w:val="restart"/>
            <w:vAlign w:val="center"/>
          </w:tcPr>
          <w:p>
            <w:pPr>
              <w:jc w:val="center"/>
              <w:rPr>
                <w:rFonts w:ascii="仿宋" w:hAnsi="仿宋" w:eastAsia="仿宋" w:cs="仿宋"/>
                <w:sz w:val="22"/>
                <w:szCs w:val="22"/>
              </w:rPr>
            </w:pPr>
            <w:r>
              <w:rPr>
                <w:rFonts w:ascii="仿宋" w:hAnsi="仿宋" w:eastAsia="仿宋" w:cs="仿宋"/>
                <w:sz w:val="22"/>
                <w:szCs w:val="22"/>
              </w:rPr>
              <w:t>顶级</w:t>
            </w:r>
          </w:p>
          <w:p>
            <w:pPr>
              <w:jc w:val="center"/>
              <w:rPr>
                <w:rFonts w:ascii="仿宋" w:hAnsi="仿宋" w:eastAsia="仿宋" w:cs="仿宋"/>
                <w:sz w:val="22"/>
                <w:szCs w:val="22"/>
              </w:rPr>
            </w:pPr>
            <w:r>
              <w:rPr>
                <w:rFonts w:ascii="仿宋" w:hAnsi="仿宋" w:eastAsia="仿宋" w:cs="仿宋"/>
                <w:sz w:val="22"/>
                <w:szCs w:val="22"/>
              </w:rPr>
              <w:t>豪宅</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500-600</w:t>
            </w:r>
          </w:p>
        </w:tc>
        <w:tc>
          <w:tcPr>
            <w:tcW w:w="833" w:type="pct"/>
            <w:vAlign w:val="center"/>
          </w:tcPr>
          <w:p>
            <w:pPr>
              <w:jc w:val="center"/>
              <w:rPr>
                <w:rFonts w:ascii="仿宋" w:hAnsi="仿宋" w:eastAsia="仿宋" w:cs="仿宋"/>
                <w:sz w:val="22"/>
                <w:szCs w:val="22"/>
              </w:rPr>
            </w:pPr>
            <w:r>
              <w:rPr>
                <w:rFonts w:hint="eastAsia" w:ascii="仿宋" w:hAnsi="仿宋" w:eastAsia="仿宋" w:cs="仿宋"/>
                <w:sz w:val="22"/>
                <w:szCs w:val="22"/>
              </w:rPr>
              <w:t>41</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22,319.34</w:t>
            </w:r>
          </w:p>
        </w:tc>
        <w:tc>
          <w:tcPr>
            <w:tcW w:w="1086" w:type="pct"/>
            <w:vMerge w:val="restart"/>
            <w:vAlign w:val="center"/>
          </w:tcPr>
          <w:p>
            <w:pPr>
              <w:jc w:val="center"/>
              <w:rPr>
                <w:rFonts w:ascii="仿宋" w:hAnsi="仿宋" w:eastAsia="仿宋" w:cs="仿宋"/>
                <w:sz w:val="22"/>
                <w:szCs w:val="22"/>
              </w:rPr>
            </w:pPr>
            <w:r>
              <w:rPr>
                <w:rFonts w:ascii="仿宋" w:hAnsi="仿宋" w:eastAsia="仿宋" w:cs="仿宋"/>
                <w:sz w:val="22"/>
                <w:szCs w:val="22"/>
              </w:rPr>
              <w:t>45套</w:t>
            </w:r>
          </w:p>
          <w:p>
            <w:pPr>
              <w:jc w:val="center"/>
              <w:rPr>
                <w:rFonts w:ascii="仿宋" w:hAnsi="仿宋" w:eastAsia="仿宋" w:cs="仿宋"/>
                <w:sz w:val="22"/>
                <w:szCs w:val="22"/>
              </w:rPr>
            </w:pPr>
            <w:r>
              <w:rPr>
                <w:rFonts w:ascii="仿宋" w:hAnsi="仿宋" w:eastAsia="仿宋" w:cs="仿宋"/>
                <w:sz w:val="22"/>
                <w:szCs w:val="22"/>
              </w:rPr>
              <w:t>25862.67平米</w:t>
            </w:r>
          </w:p>
        </w:tc>
        <w:tc>
          <w:tcPr>
            <w:tcW w:w="582" w:type="pct"/>
            <w:vMerge w:val="restart"/>
            <w:vAlign w:val="center"/>
          </w:tcPr>
          <w:p>
            <w:pPr>
              <w:jc w:val="center"/>
              <w:rPr>
                <w:rFonts w:ascii="仿宋" w:hAnsi="仿宋" w:eastAsia="仿宋" w:cs="仿宋"/>
                <w:sz w:val="22"/>
                <w:szCs w:val="22"/>
              </w:rPr>
            </w:pPr>
            <w:r>
              <w:rPr>
                <w:rFonts w:ascii="仿宋" w:hAnsi="仿宋" w:eastAsia="仿宋" w:cs="仿宋"/>
                <w:sz w:val="22"/>
                <w:szCs w:val="22"/>
              </w:rPr>
              <w:t>50.4%</w:t>
            </w:r>
          </w:p>
          <w:p>
            <w:pPr>
              <w:jc w:val="center"/>
              <w:rPr>
                <w:rFonts w:ascii="仿宋" w:hAnsi="仿宋" w:eastAsia="仿宋" w:cs="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Merge w:val="continue"/>
            <w:vAlign w:val="center"/>
          </w:tcPr>
          <w:p>
            <w:pPr>
              <w:jc w:val="center"/>
              <w:rPr>
                <w:rFonts w:ascii="仿宋" w:hAnsi="仿宋" w:eastAsia="仿宋" w:cs="仿宋"/>
                <w:sz w:val="22"/>
                <w:szCs w:val="22"/>
              </w:rPr>
            </w:pP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600-700</w:t>
            </w:r>
          </w:p>
        </w:tc>
        <w:tc>
          <w:tcPr>
            <w:tcW w:w="1666" w:type="pct"/>
            <w:gridSpan w:val="2"/>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w:t>
            </w:r>
          </w:p>
        </w:tc>
        <w:tc>
          <w:tcPr>
            <w:tcW w:w="1086" w:type="pct"/>
            <w:vMerge w:val="continue"/>
            <w:vAlign w:val="center"/>
          </w:tcPr>
          <w:p>
            <w:pPr>
              <w:jc w:val="center"/>
              <w:rPr>
                <w:rFonts w:ascii="仿宋" w:hAnsi="仿宋" w:eastAsia="仿宋" w:cs="仿宋"/>
                <w:sz w:val="22"/>
                <w:szCs w:val="22"/>
              </w:rPr>
            </w:pPr>
          </w:p>
        </w:tc>
        <w:tc>
          <w:tcPr>
            <w:tcW w:w="582" w:type="pct"/>
            <w:vMerge w:val="continue"/>
            <w:vAlign w:val="center"/>
          </w:tcPr>
          <w:p>
            <w:pPr>
              <w:jc w:val="center"/>
              <w:rPr>
                <w:rFonts w:ascii="仿宋" w:hAnsi="仿宋" w:eastAsia="仿宋" w:cs="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Merge w:val="continue"/>
            <w:vAlign w:val="center"/>
          </w:tcPr>
          <w:p>
            <w:pPr>
              <w:jc w:val="center"/>
              <w:rPr>
                <w:rFonts w:ascii="仿宋" w:hAnsi="仿宋" w:eastAsia="仿宋" w:cs="仿宋"/>
                <w:sz w:val="22"/>
                <w:szCs w:val="22"/>
              </w:rPr>
            </w:pP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700-800</w:t>
            </w:r>
          </w:p>
        </w:tc>
        <w:tc>
          <w:tcPr>
            <w:tcW w:w="1666" w:type="pct"/>
            <w:gridSpan w:val="2"/>
            <w:vMerge w:val="continue"/>
            <w:vAlign w:val="center"/>
          </w:tcPr>
          <w:p>
            <w:pPr>
              <w:jc w:val="center"/>
              <w:rPr>
                <w:rFonts w:ascii="仿宋" w:hAnsi="仿宋" w:eastAsia="仿宋" w:cs="仿宋"/>
                <w:sz w:val="22"/>
                <w:szCs w:val="22"/>
              </w:rPr>
            </w:pPr>
          </w:p>
        </w:tc>
        <w:tc>
          <w:tcPr>
            <w:tcW w:w="1086" w:type="pct"/>
            <w:vMerge w:val="continue"/>
            <w:vAlign w:val="center"/>
          </w:tcPr>
          <w:p>
            <w:pPr>
              <w:jc w:val="center"/>
              <w:rPr>
                <w:rFonts w:ascii="仿宋" w:hAnsi="仿宋" w:eastAsia="仿宋" w:cs="仿宋"/>
                <w:sz w:val="22"/>
                <w:szCs w:val="22"/>
              </w:rPr>
            </w:pPr>
          </w:p>
        </w:tc>
        <w:tc>
          <w:tcPr>
            <w:tcW w:w="582" w:type="pct"/>
            <w:vMerge w:val="continue"/>
            <w:vAlign w:val="center"/>
          </w:tcPr>
          <w:p>
            <w:pPr>
              <w:jc w:val="center"/>
              <w:rPr>
                <w:rFonts w:ascii="仿宋" w:hAnsi="仿宋" w:eastAsia="仿宋" w:cs="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Merge w:val="continue"/>
            <w:vAlign w:val="center"/>
          </w:tcPr>
          <w:p>
            <w:pPr>
              <w:jc w:val="center"/>
              <w:rPr>
                <w:rFonts w:ascii="仿宋" w:hAnsi="仿宋" w:eastAsia="仿宋" w:cs="仿宋"/>
                <w:sz w:val="22"/>
                <w:szCs w:val="22"/>
              </w:rPr>
            </w:pP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800-900</w:t>
            </w:r>
          </w:p>
        </w:tc>
        <w:tc>
          <w:tcPr>
            <w:tcW w:w="833" w:type="pct"/>
            <w:vAlign w:val="center"/>
          </w:tcPr>
          <w:p>
            <w:pPr>
              <w:jc w:val="center"/>
              <w:rPr>
                <w:rFonts w:ascii="仿宋" w:hAnsi="仿宋" w:eastAsia="仿宋" w:cs="仿宋"/>
                <w:sz w:val="22"/>
                <w:szCs w:val="22"/>
              </w:rPr>
            </w:pPr>
            <w:r>
              <w:rPr>
                <w:rFonts w:hint="eastAsia" w:ascii="仿宋" w:hAnsi="仿宋" w:eastAsia="仿宋" w:cs="仿宋"/>
                <w:sz w:val="22"/>
                <w:szCs w:val="22"/>
              </w:rPr>
              <w:t>4</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3,543.33</w:t>
            </w:r>
          </w:p>
        </w:tc>
        <w:tc>
          <w:tcPr>
            <w:tcW w:w="1086" w:type="pct"/>
            <w:vMerge w:val="continue"/>
            <w:vAlign w:val="center"/>
          </w:tcPr>
          <w:p>
            <w:pPr>
              <w:jc w:val="center"/>
              <w:rPr>
                <w:rFonts w:ascii="仿宋" w:hAnsi="仿宋" w:eastAsia="仿宋" w:cs="仿宋"/>
                <w:sz w:val="22"/>
                <w:szCs w:val="22"/>
              </w:rPr>
            </w:pPr>
          </w:p>
        </w:tc>
        <w:tc>
          <w:tcPr>
            <w:tcW w:w="582" w:type="pct"/>
            <w:vMerge w:val="continue"/>
            <w:vAlign w:val="center"/>
          </w:tcPr>
          <w:p>
            <w:pPr>
              <w:jc w:val="center"/>
              <w:rPr>
                <w:rFonts w:ascii="仿宋" w:hAnsi="仿宋" w:eastAsia="仿宋" w:cs="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832" w:type="pct"/>
            <w:vMerge w:val="restart"/>
            <w:vAlign w:val="center"/>
          </w:tcPr>
          <w:p>
            <w:pPr>
              <w:jc w:val="center"/>
              <w:rPr>
                <w:rFonts w:ascii="仿宋" w:hAnsi="仿宋" w:eastAsia="仿宋" w:cs="仿宋"/>
                <w:sz w:val="22"/>
                <w:szCs w:val="22"/>
              </w:rPr>
            </w:pPr>
            <w:r>
              <w:rPr>
                <w:rFonts w:ascii="仿宋" w:hAnsi="仿宋" w:eastAsia="仿宋" w:cs="仿宋"/>
                <w:sz w:val="22"/>
                <w:szCs w:val="22"/>
              </w:rPr>
              <w:t>超级</w:t>
            </w:r>
          </w:p>
          <w:p>
            <w:pPr>
              <w:jc w:val="center"/>
              <w:rPr>
                <w:rFonts w:ascii="仿宋" w:hAnsi="仿宋" w:eastAsia="仿宋" w:cs="仿宋"/>
                <w:sz w:val="22"/>
                <w:szCs w:val="22"/>
              </w:rPr>
            </w:pPr>
            <w:r>
              <w:rPr>
                <w:rFonts w:ascii="仿宋" w:hAnsi="仿宋" w:eastAsia="仿宋" w:cs="仿宋"/>
                <w:sz w:val="22"/>
                <w:szCs w:val="22"/>
              </w:rPr>
              <w:t>豪宅</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900-1000</w:t>
            </w:r>
          </w:p>
        </w:tc>
        <w:tc>
          <w:tcPr>
            <w:tcW w:w="833" w:type="pct"/>
            <w:vAlign w:val="center"/>
          </w:tcPr>
          <w:p>
            <w:pPr>
              <w:jc w:val="center"/>
              <w:rPr>
                <w:rFonts w:ascii="仿宋" w:hAnsi="仿宋" w:eastAsia="仿宋" w:cs="仿宋"/>
                <w:sz w:val="22"/>
                <w:szCs w:val="22"/>
              </w:rPr>
            </w:pPr>
            <w:r>
              <w:rPr>
                <w:rFonts w:hint="eastAsia" w:ascii="仿宋" w:hAnsi="仿宋" w:eastAsia="仿宋" w:cs="仿宋"/>
                <w:sz w:val="22"/>
                <w:szCs w:val="22"/>
              </w:rPr>
              <w:t>7</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6,761.43</w:t>
            </w:r>
          </w:p>
        </w:tc>
        <w:tc>
          <w:tcPr>
            <w:tcW w:w="1086" w:type="pct"/>
            <w:vMerge w:val="restart"/>
            <w:vAlign w:val="center"/>
          </w:tcPr>
          <w:p>
            <w:pPr>
              <w:jc w:val="center"/>
              <w:rPr>
                <w:rFonts w:ascii="仿宋" w:hAnsi="仿宋" w:eastAsia="仿宋" w:cs="仿宋"/>
                <w:sz w:val="22"/>
                <w:szCs w:val="22"/>
              </w:rPr>
            </w:pPr>
            <w:r>
              <w:rPr>
                <w:rFonts w:ascii="仿宋" w:hAnsi="仿宋" w:eastAsia="仿宋" w:cs="仿宋"/>
                <w:sz w:val="22"/>
                <w:szCs w:val="22"/>
              </w:rPr>
              <w:t>12套</w:t>
            </w:r>
          </w:p>
          <w:p>
            <w:pPr>
              <w:jc w:val="center"/>
              <w:rPr>
                <w:rFonts w:ascii="仿宋" w:hAnsi="仿宋" w:eastAsia="仿宋" w:cs="仿宋"/>
                <w:sz w:val="22"/>
                <w:szCs w:val="22"/>
              </w:rPr>
            </w:pPr>
            <w:r>
              <w:rPr>
                <w:rFonts w:ascii="仿宋" w:hAnsi="仿宋" w:eastAsia="仿宋" w:cs="仿宋"/>
                <w:sz w:val="22"/>
                <w:szCs w:val="22"/>
              </w:rPr>
              <w:t>14126.86平米</w:t>
            </w:r>
          </w:p>
        </w:tc>
        <w:tc>
          <w:tcPr>
            <w:tcW w:w="582" w:type="pct"/>
            <w:vMerge w:val="restart"/>
            <w:vAlign w:val="center"/>
          </w:tcPr>
          <w:p>
            <w:pPr>
              <w:jc w:val="center"/>
              <w:rPr>
                <w:rFonts w:ascii="仿宋" w:hAnsi="仿宋" w:eastAsia="仿宋" w:cs="仿宋"/>
                <w:sz w:val="22"/>
                <w:szCs w:val="22"/>
              </w:rPr>
            </w:pPr>
            <w:r>
              <w:rPr>
                <w:rFonts w:ascii="仿宋" w:hAnsi="仿宋" w:eastAsia="仿宋" w:cs="仿宋"/>
                <w:sz w:val="22"/>
                <w:szCs w:val="22"/>
              </w:rPr>
              <w:t>27.6%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Merge w:val="continue"/>
            <w:vAlign w:val="center"/>
          </w:tcPr>
          <w:p>
            <w:pPr>
              <w:jc w:val="center"/>
              <w:rPr>
                <w:rFonts w:ascii="仿宋" w:hAnsi="仿宋" w:eastAsia="仿宋" w:cs="仿宋"/>
                <w:sz w:val="22"/>
                <w:szCs w:val="22"/>
              </w:rPr>
            </w:pP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1000以上</w:t>
            </w:r>
          </w:p>
        </w:tc>
        <w:tc>
          <w:tcPr>
            <w:tcW w:w="833" w:type="pct"/>
            <w:vAlign w:val="center"/>
          </w:tcPr>
          <w:p>
            <w:pPr>
              <w:jc w:val="center"/>
              <w:rPr>
                <w:rFonts w:ascii="仿宋" w:hAnsi="仿宋" w:eastAsia="仿宋" w:cs="仿宋"/>
                <w:sz w:val="22"/>
                <w:szCs w:val="22"/>
              </w:rPr>
            </w:pPr>
            <w:r>
              <w:rPr>
                <w:rFonts w:hint="eastAsia" w:ascii="仿宋" w:hAnsi="仿宋" w:eastAsia="仿宋" w:cs="仿宋"/>
                <w:sz w:val="22"/>
                <w:szCs w:val="22"/>
              </w:rPr>
              <w:t>5</w:t>
            </w:r>
          </w:p>
        </w:tc>
        <w:tc>
          <w:tcPr>
            <w:tcW w:w="833" w:type="pct"/>
            <w:vAlign w:val="center"/>
          </w:tcPr>
          <w:p>
            <w:pPr>
              <w:jc w:val="center"/>
              <w:rPr>
                <w:rFonts w:ascii="仿宋" w:hAnsi="仿宋" w:eastAsia="仿宋" w:cs="仿宋"/>
                <w:sz w:val="22"/>
                <w:szCs w:val="22"/>
              </w:rPr>
            </w:pPr>
            <w:r>
              <w:rPr>
                <w:rFonts w:ascii="仿宋" w:hAnsi="仿宋" w:eastAsia="仿宋" w:cs="仿宋"/>
                <w:sz w:val="22"/>
                <w:szCs w:val="22"/>
              </w:rPr>
              <w:t>7,365.43</w:t>
            </w:r>
          </w:p>
        </w:tc>
        <w:tc>
          <w:tcPr>
            <w:tcW w:w="1086" w:type="pct"/>
            <w:vMerge w:val="continue"/>
            <w:vAlign w:val="center"/>
          </w:tcPr>
          <w:p>
            <w:pPr>
              <w:jc w:val="center"/>
              <w:rPr>
                <w:rFonts w:ascii="仿宋" w:hAnsi="仿宋" w:eastAsia="仿宋" w:cs="仿宋"/>
                <w:sz w:val="22"/>
                <w:szCs w:val="22"/>
              </w:rPr>
            </w:pPr>
          </w:p>
        </w:tc>
        <w:tc>
          <w:tcPr>
            <w:tcW w:w="582" w:type="pct"/>
            <w:vMerge w:val="continue"/>
            <w:vAlign w:val="center"/>
          </w:tcPr>
          <w:p>
            <w:pPr>
              <w:jc w:val="center"/>
              <w:rPr>
                <w:rFonts w:ascii="仿宋" w:hAnsi="仿宋" w:eastAsia="仿宋" w:cs="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pct"/>
            <w:vAlign w:val="center"/>
          </w:tcPr>
          <w:p>
            <w:pPr>
              <w:jc w:val="center"/>
              <w:rPr>
                <w:rFonts w:ascii="仿宋" w:hAnsi="仿宋" w:eastAsia="仿宋" w:cs="仿宋"/>
                <w:b/>
                <w:bCs/>
                <w:sz w:val="22"/>
                <w:szCs w:val="22"/>
              </w:rPr>
            </w:pPr>
            <w:r>
              <w:rPr>
                <w:rFonts w:ascii="仿宋" w:hAnsi="仿宋" w:eastAsia="仿宋" w:cs="仿宋"/>
                <w:b/>
                <w:bCs/>
                <w:sz w:val="22"/>
                <w:szCs w:val="22"/>
              </w:rPr>
              <w:t>总计</w:t>
            </w:r>
          </w:p>
        </w:tc>
        <w:tc>
          <w:tcPr>
            <w:tcW w:w="833" w:type="pct"/>
            <w:vAlign w:val="center"/>
          </w:tcPr>
          <w:p>
            <w:pPr>
              <w:jc w:val="center"/>
              <w:rPr>
                <w:rFonts w:ascii="仿宋" w:hAnsi="仿宋" w:eastAsia="仿宋" w:cs="仿宋"/>
                <w:b/>
                <w:bCs/>
                <w:sz w:val="22"/>
                <w:szCs w:val="22"/>
              </w:rPr>
            </w:pPr>
            <w:r>
              <w:rPr>
                <w:rFonts w:ascii="仿宋" w:hAnsi="仿宋" w:eastAsia="仿宋" w:cs="仿宋"/>
                <w:b/>
                <w:bCs/>
                <w:sz w:val="22"/>
                <w:szCs w:val="22"/>
              </w:rPr>
              <w:t>300-2000</w:t>
            </w:r>
          </w:p>
        </w:tc>
        <w:tc>
          <w:tcPr>
            <w:tcW w:w="833" w:type="pct"/>
            <w:vAlign w:val="center"/>
          </w:tcPr>
          <w:p>
            <w:pPr>
              <w:jc w:val="center"/>
              <w:rPr>
                <w:rFonts w:ascii="仿宋" w:hAnsi="仿宋" w:eastAsia="仿宋" w:cs="仿宋"/>
                <w:b/>
                <w:bCs/>
                <w:sz w:val="22"/>
                <w:szCs w:val="22"/>
              </w:rPr>
            </w:pPr>
            <w:r>
              <w:rPr>
                <w:rFonts w:hint="eastAsia" w:ascii="仿宋" w:hAnsi="仿宋" w:eastAsia="仿宋" w:cs="仿宋"/>
                <w:b/>
                <w:bCs/>
                <w:sz w:val="22"/>
                <w:szCs w:val="22"/>
              </w:rPr>
              <w:t>96</w:t>
            </w:r>
          </w:p>
        </w:tc>
        <w:tc>
          <w:tcPr>
            <w:tcW w:w="833" w:type="pct"/>
            <w:vAlign w:val="center"/>
          </w:tcPr>
          <w:p>
            <w:pPr>
              <w:jc w:val="center"/>
              <w:rPr>
                <w:rFonts w:ascii="仿宋" w:hAnsi="仿宋" w:eastAsia="仿宋" w:cs="仿宋"/>
                <w:b/>
                <w:bCs/>
                <w:sz w:val="22"/>
                <w:szCs w:val="22"/>
              </w:rPr>
            </w:pPr>
            <w:r>
              <w:rPr>
                <w:rFonts w:ascii="仿宋" w:hAnsi="仿宋" w:eastAsia="仿宋" w:cs="仿宋"/>
                <w:b/>
                <w:bCs/>
                <w:sz w:val="22"/>
                <w:szCs w:val="22"/>
              </w:rPr>
              <w:t>51,312.29</w:t>
            </w:r>
          </w:p>
        </w:tc>
        <w:tc>
          <w:tcPr>
            <w:tcW w:w="1086" w:type="pct"/>
            <w:vAlign w:val="center"/>
          </w:tcPr>
          <w:p>
            <w:pPr>
              <w:jc w:val="center"/>
              <w:rPr>
                <w:rFonts w:ascii="仿宋" w:hAnsi="仿宋" w:eastAsia="仿宋" w:cs="仿宋"/>
                <w:b/>
                <w:bCs/>
                <w:sz w:val="22"/>
                <w:szCs w:val="22"/>
              </w:rPr>
            </w:pPr>
            <w:r>
              <w:rPr>
                <w:rFonts w:ascii="仿宋" w:hAnsi="仿宋" w:eastAsia="仿宋" w:cs="仿宋"/>
                <w:b/>
                <w:bCs/>
                <w:sz w:val="22"/>
                <w:szCs w:val="22"/>
              </w:rPr>
              <w:t>96套</w:t>
            </w:r>
          </w:p>
          <w:p>
            <w:pPr>
              <w:jc w:val="center"/>
              <w:rPr>
                <w:rFonts w:ascii="仿宋" w:hAnsi="仿宋" w:eastAsia="仿宋" w:cs="仿宋"/>
                <w:b/>
                <w:bCs/>
                <w:sz w:val="22"/>
                <w:szCs w:val="22"/>
              </w:rPr>
            </w:pPr>
            <w:r>
              <w:rPr>
                <w:rFonts w:ascii="仿宋" w:hAnsi="仿宋" w:eastAsia="仿宋" w:cs="仿宋"/>
                <w:b/>
                <w:bCs/>
                <w:sz w:val="22"/>
                <w:szCs w:val="22"/>
              </w:rPr>
              <w:t>51,312.29</w:t>
            </w:r>
          </w:p>
        </w:tc>
        <w:tc>
          <w:tcPr>
            <w:tcW w:w="582" w:type="pct"/>
            <w:vAlign w:val="center"/>
          </w:tcPr>
          <w:p>
            <w:pPr>
              <w:jc w:val="center"/>
              <w:rPr>
                <w:rFonts w:ascii="仿宋" w:hAnsi="仿宋" w:eastAsia="仿宋" w:cs="仿宋"/>
                <w:b/>
                <w:bCs/>
                <w:sz w:val="22"/>
                <w:szCs w:val="22"/>
              </w:rPr>
            </w:pPr>
            <w:r>
              <w:rPr>
                <w:rFonts w:ascii="仿宋" w:hAnsi="仿宋" w:eastAsia="仿宋" w:cs="仿宋"/>
                <w:b/>
                <w:bCs/>
                <w:sz w:val="22"/>
                <w:szCs w:val="22"/>
              </w:rPr>
              <w:t>100%</w:t>
            </w:r>
          </w:p>
        </w:tc>
      </w:tr>
    </w:tbl>
    <w:p/>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9"/>
        <w:gridCol w:w="2131"/>
        <w:gridCol w:w="2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5000" w:type="pct"/>
            <w:gridSpan w:val="4"/>
            <w:vAlign w:val="center"/>
          </w:tcPr>
          <w:p>
            <w:pPr>
              <w:jc w:val="center"/>
              <w:rPr>
                <w:rFonts w:ascii="仿宋" w:hAnsi="仿宋" w:eastAsia="仿宋" w:cs="仿宋"/>
                <w:sz w:val="22"/>
                <w:szCs w:val="22"/>
              </w:rPr>
            </w:pPr>
            <w:r>
              <w:rPr>
                <w:rFonts w:hint="eastAsia" w:ascii="仿宋" w:hAnsi="仿宋" w:eastAsia="仿宋" w:cs="仿宋"/>
                <w:b/>
                <w:bCs/>
                <w:sz w:val="22"/>
                <w:szCs w:val="22"/>
              </w:rPr>
              <w:t>顺景·石上清泉项目住宅未售说明二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楼号</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套数</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业态</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1套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独栋</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2172㎡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3号楼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1套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独栋</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2182㎡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4号楼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4套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平层（一梯一户）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532至552㎡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1套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跃层（顶跃）</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945㎡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5号楼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3套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平层（一梯一户）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521至552㎡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1套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跃层（顶跃）</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929㎡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9号楼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10套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平层（三梯两户）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511至533㎡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跃层（顶跃）</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888㎡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10号楼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8套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平层（两梯两户）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557㎡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跃层（顶跃）</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969㎡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11号楼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10套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平层（两梯两户）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581至559㎡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跃层（顶跃）</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974㎡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12号楼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6套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平层（两梯两户）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512至537㎡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平层（两梯两户）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494㎡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跃层（顶跃）</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870至895㎡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13号楼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18套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平层（三梯四户）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262㎡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平层（三梯四户）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308㎡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跃层（顶跃）</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998至1000㎡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restart"/>
            <w:vAlign w:val="center"/>
          </w:tcPr>
          <w:p>
            <w:pPr>
              <w:jc w:val="center"/>
              <w:rPr>
                <w:rFonts w:ascii="仿宋" w:hAnsi="仿宋" w:eastAsia="仿宋" w:cs="仿宋"/>
                <w:sz w:val="22"/>
                <w:szCs w:val="22"/>
              </w:rPr>
            </w:pPr>
            <w:r>
              <w:rPr>
                <w:rFonts w:hint="eastAsia" w:ascii="仿宋" w:hAnsi="仿宋" w:eastAsia="仿宋" w:cs="仿宋"/>
                <w:sz w:val="22"/>
                <w:szCs w:val="22"/>
              </w:rPr>
              <w:t>14号楼</w:t>
            </w: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14套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平层（两梯四户）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232至288㎡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3套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平层（两梯四户）</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319至323㎡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Merge w:val="continue"/>
            <w:vAlign w:val="center"/>
          </w:tcPr>
          <w:p>
            <w:pPr>
              <w:jc w:val="center"/>
              <w:rPr>
                <w:rFonts w:ascii="仿宋" w:hAnsi="仿宋" w:eastAsia="仿宋" w:cs="仿宋"/>
                <w:sz w:val="22"/>
                <w:szCs w:val="22"/>
              </w:rPr>
            </w:pPr>
          </w:p>
        </w:tc>
        <w:tc>
          <w:tcPr>
            <w:tcW w:w="1249" w:type="pct"/>
            <w:vAlign w:val="center"/>
          </w:tcPr>
          <w:p>
            <w:pPr>
              <w:jc w:val="center"/>
              <w:rPr>
                <w:rFonts w:ascii="仿宋" w:hAnsi="仿宋" w:eastAsia="仿宋" w:cs="仿宋"/>
                <w:sz w:val="22"/>
                <w:szCs w:val="22"/>
              </w:rPr>
            </w:pPr>
            <w:r>
              <w:rPr>
                <w:rFonts w:hint="eastAsia" w:ascii="仿宋" w:hAnsi="仿宋" w:eastAsia="仿宋" w:cs="仿宋"/>
                <w:sz w:val="22"/>
                <w:szCs w:val="22"/>
              </w:rPr>
              <w:t>2套</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跃层（顶跃）</w:t>
            </w:r>
          </w:p>
        </w:tc>
        <w:tc>
          <w:tcPr>
            <w:tcW w:w="1250" w:type="pct"/>
            <w:vAlign w:val="center"/>
          </w:tcPr>
          <w:p>
            <w:pPr>
              <w:jc w:val="center"/>
              <w:rPr>
                <w:rFonts w:ascii="仿宋" w:hAnsi="仿宋" w:eastAsia="仿宋" w:cs="仿宋"/>
                <w:sz w:val="22"/>
                <w:szCs w:val="22"/>
              </w:rPr>
            </w:pPr>
            <w:r>
              <w:rPr>
                <w:rFonts w:hint="eastAsia" w:ascii="仿宋" w:hAnsi="仿宋" w:eastAsia="仿宋" w:cs="仿宋"/>
                <w:sz w:val="22"/>
                <w:szCs w:val="22"/>
              </w:rPr>
              <w:t>1004㎡</w:t>
            </w:r>
          </w:p>
        </w:tc>
      </w:tr>
    </w:tbl>
    <w:p>
      <w:pPr>
        <w:pStyle w:val="2"/>
        <w:numPr>
          <w:ilvl w:val="0"/>
          <w:numId w:val="2"/>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涉诉情况</w:t>
      </w:r>
    </w:p>
    <w:p>
      <w:pPr>
        <w:pStyle w:val="2"/>
        <w:numPr>
          <w:ilvl w:val="0"/>
          <w:numId w:val="0"/>
        </w:numPr>
        <w:ind w:firstLine="6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北京顺景园房地产开发有限公司诉讼情况和金额见下表：</w:t>
      </w:r>
    </w:p>
    <w:tbl>
      <w:tblPr>
        <w:tblStyle w:val="9"/>
        <w:tblpPr w:leftFromText="180" w:rightFromText="180" w:vertAnchor="text" w:horzAnchor="page" w:tblpX="787" w:tblpY="632"/>
        <w:tblOverlap w:val="never"/>
        <w:tblW w:w="10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0"/>
        <w:gridCol w:w="3490"/>
        <w:gridCol w:w="1330"/>
        <w:gridCol w:w="1370"/>
        <w:gridCol w:w="1750"/>
        <w:gridCol w:w="2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30" w:type="dxa"/>
            <w:vAlign w:val="top"/>
          </w:tcPr>
          <w:p>
            <w:pPr>
              <w:pStyle w:val="2"/>
              <w:numPr>
                <w:ilvl w:val="0"/>
                <w:numId w:val="0"/>
              </w:numPr>
              <w:jc w:val="center"/>
              <w:rPr>
                <w:rFonts w:hint="eastAsia" w:ascii="仿宋" w:hAnsi="仿宋" w:eastAsia="仿宋" w:cs="仿宋"/>
                <w:sz w:val="21"/>
                <w:szCs w:val="21"/>
                <w:vertAlign w:val="baseline"/>
                <w:lang w:val="en-US" w:eastAsia="zh-CN"/>
              </w:rPr>
            </w:pPr>
            <w:bookmarkStart w:id="0" w:name="_GoBack"/>
            <w:r>
              <w:rPr>
                <w:rFonts w:hint="eastAsia" w:ascii="仿宋" w:hAnsi="仿宋" w:eastAsia="仿宋" w:cs="仿宋"/>
                <w:sz w:val="21"/>
                <w:szCs w:val="21"/>
                <w:vertAlign w:val="baseline"/>
                <w:lang w:val="en-US" w:eastAsia="zh-CN"/>
              </w:rPr>
              <w:t>序号</w:t>
            </w:r>
          </w:p>
        </w:tc>
        <w:tc>
          <w:tcPr>
            <w:tcW w:w="3490" w:type="dxa"/>
            <w:vAlign w:val="top"/>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名称</w:t>
            </w:r>
          </w:p>
        </w:tc>
        <w:tc>
          <w:tcPr>
            <w:tcW w:w="1330" w:type="dxa"/>
            <w:vAlign w:val="top"/>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案件身份</w:t>
            </w:r>
          </w:p>
        </w:tc>
        <w:tc>
          <w:tcPr>
            <w:tcW w:w="1370" w:type="dxa"/>
            <w:vAlign w:val="top"/>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诉讼阶段</w:t>
            </w:r>
          </w:p>
        </w:tc>
        <w:tc>
          <w:tcPr>
            <w:tcW w:w="1750" w:type="dxa"/>
            <w:vAlign w:val="top"/>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案号</w:t>
            </w:r>
          </w:p>
        </w:tc>
        <w:tc>
          <w:tcPr>
            <w:tcW w:w="2080" w:type="dxa"/>
            <w:vAlign w:val="top"/>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标的额</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lang w:val="en-US" w:eastAsia="zh-CN"/>
              </w:rPr>
              <w:t>盛京银行股份有限公司沈阳市于洪支行与何**,佛山市三水顺峰饮食有限公司,北京顺景园房地产开发有限公司等金融借款合同纠纷的案件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lang w:val="en-US" w:eastAsia="zh-CN"/>
              </w:rPr>
              <w:t>一审被告</w:t>
            </w:r>
          </w:p>
        </w:tc>
        <w:tc>
          <w:tcPr>
            <w:tcW w:w="1370" w:type="dxa"/>
          </w:tcPr>
          <w:p>
            <w:pPr>
              <w:pStyle w:val="2"/>
              <w:numPr>
                <w:ilvl w:val="0"/>
                <w:numId w:val="0"/>
              </w:numPr>
              <w:jc w:val="center"/>
              <w:rPr>
                <w:rFonts w:hint="default"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lang w:val="en-US" w:eastAsia="zh-CN"/>
              </w:rPr>
              <w:t>（2022）辽01执1349号</w:t>
            </w:r>
          </w:p>
        </w:tc>
        <w:tc>
          <w:tcPr>
            <w:tcW w:w="2080" w:type="dxa"/>
          </w:tcPr>
          <w:p>
            <w:pPr>
              <w:pStyle w:val="2"/>
              <w:numPr>
                <w:ilvl w:val="0"/>
                <w:numId w:val="0"/>
              </w:numPr>
              <w:jc w:val="both"/>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1,116,004,990.00</w:t>
            </w:r>
          </w:p>
          <w:p>
            <w:pPr>
              <w:pStyle w:val="2"/>
              <w:numPr>
                <w:ilvl w:val="0"/>
                <w:numId w:val="0"/>
              </w:numPr>
              <w:jc w:val="center"/>
              <w:rPr>
                <w:rFonts w:hint="eastAsia" w:ascii="仿宋" w:hAnsi="仿宋" w:eastAsia="仿宋" w:cs="仿宋"/>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盛京银行股份有限公司沈阳市于洪支行与何**,佛山市顺德区金桂半岛投资管理有限公司,北京顺景园房地产开发有限公司等金融借款合同纠纷的案件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default"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2022）辽01执1351号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2,012,834,940.00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3</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盛京银行股份有限公司沈阳市于洪支行与何**,北京新英豪杰商贸有限公司,北京泽枫伟业建筑工程有限公司等金融借款合同纠纷的案件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（2022）辽01执1352号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483,604,992.00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default"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（2023）京0109执2750号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5</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北京华阳卓越机械设备租赁有限公司与北京顺景园房地产开发有限公司买卖合同纠纷的案件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（2020）京0105民初32061号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3,170,847.00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6</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盛京银行股份有限公司沈阳市于洪支行与何**,北京新英豪杰商贸有限公司,北京顺峰灵山旅游开发有限公司等金融借款合同纠纷的案件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（2022）辽01执1353号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743,694,980.00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7</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盛京银行股份有限公司沈阳市于洪支行与何**,北京金谷鑫商贸投资有限公司,北京顺景园房地产开发有限公司等金融借款合同纠纷的案件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（2022）辽01执1355号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868,004,990.00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8</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北京顺景园房地产开发有限公司与刘**劳动争议的案件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一审原告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2020）京0105民初57718号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83,017.00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9</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李**与北京顺景园房地产开发有限公司劳务合同纠纷的案件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原告撤诉</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（2021）京0109民初5584号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10</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中山市石岐区郑氏中邦干制水产品店与北京顺景园房地产开发有限公司买卖合同纠纷的案件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执行阶段</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（2017）京0105民初80130号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41,420.00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11</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北京金盾建材有限公司,北京顺景园房地产开发有限公司建设工程施工合同纠纷的案件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（2020）京0105民初6451号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12</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北京顺景园房地产开发有限公司,车**,金**房屋买卖合同纠纷的案件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再审当事人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已经调解</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2018）京民再50号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13</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北京绘景添建筑装饰工程有限公司与北京顺景园房地产开发有限公司买卖合同纠纷的案件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（2017）京0105民初58257号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82,362.00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14</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北京顺景园房地产开发有限公司申请撤销仲裁裁决的案件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特别程序申请人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p>
          <w:p>
            <w:pPr>
              <w:bidi w:val="0"/>
              <w:jc w:val="center"/>
              <w:rPr>
                <w:rFonts w:hint="eastAsia" w:ascii="仿宋" w:hAnsi="仿宋" w:eastAsia="仿宋" w:cs="仿宋"/>
                <w:sz w:val="21"/>
                <w:szCs w:val="21"/>
                <w:lang w:val="en-US" w:eastAsia="zh-CN"/>
              </w:rPr>
            </w:pPr>
          </w:p>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（2016）京03执471号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42,041,620.00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15</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北京博达鑫源钢结构工程有限公司,北京顺景园房地产开发有限公司建设工程施工合同纠纷的案件</w:t>
            </w:r>
          </w:p>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民事案件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一审当事人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（2018）京0105民初81237号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16</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（2018）京0105执70号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45,000.00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17</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金**与北京顺景园房地产开发有限公司房屋买卖合同纠纷的案件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申请再审审查被申请人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（2016）京0105民初20832号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18</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北京顺景园房地产开发有限公司申请确认仲裁协议效力的案件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申请人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（2015）三中执异字第347号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19</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北京顺景园房地产开发有限公司与洪*商品房预售合同纠纷的案件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二审上诉人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（2011）二中民终字第9232号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北京鑫和基商贸发展有限公司与北京顺景园房地产开发有限公司买卖合同纠纷的案件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（2014）门民商初字第4118号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21</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p>
            <w:pPr>
              <w:pStyle w:val="2"/>
              <w:numPr>
                <w:ilvl w:val="0"/>
                <w:numId w:val="0"/>
              </w:numPr>
              <w:jc w:val="center"/>
              <w:rPr>
                <w:rFonts w:hint="eastAsia" w:ascii="仿宋" w:hAnsi="仿宋" w:eastAsia="仿宋" w:cs="仿宋"/>
                <w:sz w:val="21"/>
                <w:szCs w:val="21"/>
                <w:vertAlign w:val="baseline"/>
                <w:lang w:val="en-US" w:eastAsia="zh-CN"/>
              </w:rPr>
            </w:pP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（2014）朝执字第9981号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2,989,571.00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22</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（2014）朝执字第9979号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19,254,298.00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23</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（2014）朝执字第9971号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1,577,571.00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24</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（2014）朝执字第9975号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1,600,643.90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25</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（2014）朝执字第9973号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1,575,782.20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26</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北京顺景园房地产开发有限公司与北京大地远通（集团）有限公司商品房预售合同纠纷的案件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（2011）朝民初字第34102号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27</w:t>
            </w:r>
          </w:p>
        </w:tc>
        <w:tc>
          <w:tcPr>
            <w:tcW w:w="3490" w:type="dxa"/>
          </w:tcPr>
          <w:p>
            <w:pPr>
              <w:pStyle w:val="2"/>
              <w:numPr>
                <w:ilvl w:val="0"/>
                <w:numId w:val="0"/>
              </w:numPr>
              <w:ind w:firstLine="583" w:firstLineChars="0"/>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北京顺景园房地产开发有限公司,赵**,赵**商品房预售合同纠纷的案件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二审上诉人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（2011）二中民终字第9987号...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111,655.00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28</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北京顺景园房地产开发有限公司与赵**商品房预售合同纠纷的案件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一审被告</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（2011）朝民初字第34101号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29</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（2014）朝执字第1139号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400,000.00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30</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（2011）朝执字第12740号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2,184,148.80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31</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（2011）朝执字第12738号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4,092,808.20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32</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（2011）朝执字第12742号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2,256,614.20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33</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（2009）二中执字第1479号</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2,268,500.20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34</w:t>
            </w:r>
          </w:p>
        </w:tc>
        <w:tc>
          <w:tcPr>
            <w:tcW w:w="349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北京顺景园房地产开发有限公司执行案件</w:t>
            </w:r>
          </w:p>
        </w:tc>
        <w:tc>
          <w:tcPr>
            <w:tcW w:w="133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被执行人</w:t>
            </w:r>
          </w:p>
        </w:tc>
        <w:tc>
          <w:tcPr>
            <w:tcW w:w="137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c>
          <w:tcPr>
            <w:tcW w:w="175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（2008）朝执字第2315</w:t>
            </w:r>
          </w:p>
        </w:tc>
        <w:tc>
          <w:tcPr>
            <w:tcW w:w="2080" w:type="dxa"/>
          </w:tcPr>
          <w:p>
            <w:pPr>
              <w:pStyle w:val="2"/>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0" w:type="dxa"/>
            <w:gridSpan w:val="5"/>
          </w:tcPr>
          <w:p>
            <w:pPr>
              <w:pStyle w:val="2"/>
              <w:numPr>
                <w:ilvl w:val="0"/>
                <w:numId w:val="0"/>
              </w:numPr>
              <w:jc w:val="center"/>
              <w:rPr>
                <w:rFonts w:hint="default"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合计</w:t>
            </w:r>
          </w:p>
        </w:tc>
        <w:tc>
          <w:tcPr>
            <w:tcW w:w="2080" w:type="dxa"/>
          </w:tcPr>
          <w:p>
            <w:pPr>
              <w:pStyle w:val="2"/>
              <w:numPr>
                <w:ilvl w:val="0"/>
                <w:numId w:val="0"/>
              </w:numPr>
              <w:jc w:val="center"/>
              <w:rPr>
                <w:rFonts w:hint="default"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5,307,960,750.50</w:t>
            </w:r>
          </w:p>
        </w:tc>
      </w:tr>
    </w:tbl>
    <w:p>
      <w:pPr>
        <w:pStyle w:val="2"/>
        <w:numPr>
          <w:ilvl w:val="0"/>
          <w:numId w:val="2"/>
        </w:num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拍卖情况</w:t>
      </w:r>
    </w:p>
    <w:p>
      <w:pPr>
        <w:pStyle w:val="2"/>
        <w:numPr>
          <w:ilvl w:val="0"/>
          <w:numId w:val="0"/>
        </w:num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 xml:space="preserve">     本项目先前将12套住宅单独上拍，起拍价折合单价约为4.5万至5.2万元/平米,拍卖房源市场价为6.4万至7万元/平米。后盛京银行全部撤拍，转为进行整体拍卖。重新上拍后一次流拍、二次流拍，现处于变卖阶段，变卖价格为273733.8352万元。</w:t>
      </w:r>
    </w:p>
    <w:p>
      <w:pPr>
        <w:pStyle w:val="2"/>
        <w:numPr>
          <w:ilvl w:val="0"/>
          <w:numId w:val="0"/>
        </w:numPr>
        <w:rPr>
          <w:rFonts w:hint="eastAsia" w:ascii="仿宋" w:hAnsi="仿宋" w:eastAsia="仿宋" w:cs="仿宋"/>
          <w:sz w:val="30"/>
          <w:szCs w:val="30"/>
          <w:lang w:val="en-US" w:eastAsia="zh-CN"/>
        </w:rPr>
      </w:pPr>
    </w:p>
    <w:p>
      <w:pPr>
        <w:pStyle w:val="2"/>
        <w:numPr>
          <w:ilvl w:val="0"/>
          <w:numId w:val="0"/>
        </w:numPr>
        <w:rPr>
          <w:rFonts w:hint="eastAsia" w:ascii="仿宋" w:hAnsi="仿宋" w:eastAsia="仿宋" w:cs="仿宋"/>
          <w:sz w:val="30"/>
          <w:szCs w:val="30"/>
          <w:lang w:val="en-US" w:eastAsia="zh-CN"/>
        </w:rPr>
      </w:pPr>
    </w:p>
    <w:p>
      <w:pPr>
        <w:pStyle w:val="2"/>
        <w:numPr>
          <w:ilvl w:val="0"/>
          <w:numId w:val="0"/>
        </w:numPr>
        <w:rPr>
          <w:rFonts w:hint="default" w:ascii="仿宋" w:hAnsi="仿宋" w:eastAsia="仿宋" w:cs="仿宋"/>
          <w:sz w:val="30"/>
          <w:szCs w:val="30"/>
          <w:lang w:val="en-US" w:eastAsia="zh-CN"/>
        </w:rPr>
      </w:pPr>
    </w:p>
    <w:p>
      <w:pPr>
        <w:pStyle w:val="2"/>
        <w:numPr>
          <w:ilvl w:val="0"/>
          <w:numId w:val="0"/>
        </w:numPr>
        <w:rPr>
          <w:rFonts w:hint="default" w:ascii="仿宋" w:hAnsi="仿宋" w:eastAsia="仿宋" w:cs="仿宋"/>
          <w:sz w:val="30"/>
          <w:szCs w:val="30"/>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938732"/>
    <w:multiLevelType w:val="singleLevel"/>
    <w:tmpl w:val="1C938732"/>
    <w:lvl w:ilvl="0" w:tentative="0">
      <w:start w:val="1"/>
      <w:numFmt w:val="chineseCounting"/>
      <w:suff w:val="nothing"/>
      <w:lvlText w:val="%1、"/>
      <w:lvlJc w:val="left"/>
      <w:rPr>
        <w:rFonts w:hint="eastAsia"/>
      </w:rPr>
    </w:lvl>
  </w:abstractNum>
  <w:abstractNum w:abstractNumId="1">
    <w:nsid w:val="4BCE6F2C"/>
    <w:multiLevelType w:val="multilevel"/>
    <w:tmpl w:val="4BCE6F2C"/>
    <w:lvl w:ilvl="0" w:tentative="0">
      <w:start w:val="1"/>
      <w:numFmt w:val="decimal"/>
      <w:pStyle w:val="3"/>
      <w:isLgl/>
      <w:lvlText w:val="%1"/>
      <w:lvlJc w:val="left"/>
      <w:pPr>
        <w:tabs>
          <w:tab w:val="left" w:pos="960"/>
        </w:tabs>
        <w:ind w:left="960" w:hanging="960"/>
      </w:pPr>
      <w:rPr>
        <w:rFonts w:hint="default" w:ascii="Arial" w:hAnsi="Arial"/>
        <w:b/>
        <w:i w:val="0"/>
        <w:sz w:val="24"/>
      </w:rPr>
    </w:lvl>
    <w:lvl w:ilvl="1" w:tentative="0">
      <w:start w:val="1"/>
      <w:numFmt w:val="decimal"/>
      <w:lvlText w:val="%1.%2"/>
      <w:lvlJc w:val="left"/>
      <w:pPr>
        <w:tabs>
          <w:tab w:val="left" w:pos="960"/>
        </w:tabs>
        <w:ind w:left="960" w:hanging="960"/>
      </w:pPr>
      <w:rPr>
        <w:rFonts w:hint="default" w:ascii="Arial" w:hAnsi="Arial"/>
        <w:b/>
        <w:i w:val="0"/>
        <w:sz w:val="24"/>
      </w:rPr>
    </w:lvl>
    <w:lvl w:ilvl="2" w:tentative="0">
      <w:start w:val="1"/>
      <w:numFmt w:val="decimal"/>
      <w:lvlText w:val="%1.%2.%3"/>
      <w:lvlJc w:val="left"/>
      <w:pPr>
        <w:tabs>
          <w:tab w:val="left" w:pos="960"/>
        </w:tabs>
        <w:ind w:left="960" w:hanging="960"/>
      </w:pPr>
      <w:rPr>
        <w:rFonts w:hint="default" w:ascii="Arial" w:hAnsi="Arial"/>
        <w:b w:val="0"/>
        <w:i w:val="0"/>
        <w:sz w:val="24"/>
      </w:rPr>
    </w:lvl>
    <w:lvl w:ilvl="3" w:tentative="0">
      <w:start w:val="1"/>
      <w:numFmt w:val="decimal"/>
      <w:lvlText w:val="%1.%2.%3.%4"/>
      <w:lvlJc w:val="left"/>
      <w:pPr>
        <w:tabs>
          <w:tab w:val="left" w:pos="960"/>
        </w:tabs>
        <w:ind w:left="960" w:hanging="960"/>
      </w:pPr>
      <w:rPr>
        <w:rFonts w:hint="default" w:ascii="Arial" w:hAnsi="Arial"/>
        <w:b w:val="0"/>
        <w:i w:val="0"/>
        <w:sz w:val="24"/>
      </w:rPr>
    </w:lvl>
    <w:lvl w:ilvl="4" w:tentative="0">
      <w:start w:val="1"/>
      <w:numFmt w:val="upperLetter"/>
      <w:lvlText w:val="%5"/>
      <w:lvlJc w:val="left"/>
      <w:pPr>
        <w:tabs>
          <w:tab w:val="left" w:pos="960"/>
        </w:tabs>
        <w:ind w:left="960" w:hanging="480"/>
      </w:pPr>
      <w:rPr>
        <w:rFonts w:hint="default" w:ascii="Arial" w:hAnsi="Arial"/>
        <w:b w:val="0"/>
        <w:i w:val="0"/>
        <w:sz w:val="24"/>
      </w:rPr>
    </w:lvl>
    <w:lvl w:ilvl="5" w:tentative="0">
      <w:start w:val="1"/>
      <w:numFmt w:val="lowerLetter"/>
      <w:lvlText w:val="%6"/>
      <w:lvlJc w:val="left"/>
      <w:pPr>
        <w:tabs>
          <w:tab w:val="left" w:pos="960"/>
        </w:tabs>
        <w:ind w:left="960" w:hanging="360"/>
      </w:pPr>
      <w:rPr>
        <w:rFonts w:hint="default" w:ascii="Arial" w:hAnsi="Arial"/>
        <w:b w:val="0"/>
        <w:i w:val="0"/>
        <w:sz w:val="24"/>
      </w:rPr>
    </w:lvl>
    <w:lvl w:ilvl="6" w:tentative="0">
      <w:start w:val="1"/>
      <w:numFmt w:val="none"/>
      <w:lvlText w:val="%7"/>
      <w:lvlJc w:val="left"/>
      <w:pPr>
        <w:tabs>
          <w:tab w:val="left" w:pos="1320"/>
        </w:tabs>
        <w:ind w:left="960" w:firstLine="0"/>
      </w:pPr>
      <w:rPr>
        <w:rFonts w:hint="default" w:ascii="Arial" w:hAnsi="Arial"/>
        <w:b w:val="0"/>
        <w:i w:val="0"/>
        <w:sz w:val="24"/>
      </w:rPr>
    </w:lvl>
    <w:lvl w:ilvl="7" w:tentative="0">
      <w:start w:val="1"/>
      <w:numFmt w:val="none"/>
      <w:lvlText w:val=""/>
      <w:lvlJc w:val="left"/>
      <w:pPr>
        <w:tabs>
          <w:tab w:val="left" w:pos="1320"/>
        </w:tabs>
        <w:ind w:left="960" w:firstLine="0"/>
      </w:pPr>
      <w:rPr>
        <w:rFonts w:hint="eastAsia"/>
      </w:rPr>
    </w:lvl>
    <w:lvl w:ilvl="8" w:tentative="0">
      <w:start w:val="1"/>
      <w:numFmt w:val="none"/>
      <w:lvlText w:val=""/>
      <w:lvlJc w:val="left"/>
      <w:pPr>
        <w:tabs>
          <w:tab w:val="left" w:pos="360"/>
        </w:tabs>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zMDcyMDBjMWY5NzlhOTQ1MzdkM2I3MmJjMGQwMmMifQ=="/>
  </w:docVars>
  <w:rsids>
    <w:rsidRoot w:val="167F33B8"/>
    <w:rsid w:val="08F75D7F"/>
    <w:rsid w:val="0A72799D"/>
    <w:rsid w:val="0D535009"/>
    <w:rsid w:val="167F33B8"/>
    <w:rsid w:val="16B94C67"/>
    <w:rsid w:val="16CE529F"/>
    <w:rsid w:val="1A395BB7"/>
    <w:rsid w:val="1B352D5A"/>
    <w:rsid w:val="20972D2D"/>
    <w:rsid w:val="21486EDD"/>
    <w:rsid w:val="22682C67"/>
    <w:rsid w:val="253403B2"/>
    <w:rsid w:val="26FD4100"/>
    <w:rsid w:val="27864BD6"/>
    <w:rsid w:val="28FB2061"/>
    <w:rsid w:val="40166AE5"/>
    <w:rsid w:val="418B74A5"/>
    <w:rsid w:val="4A183041"/>
    <w:rsid w:val="4A824900"/>
    <w:rsid w:val="4D2E0486"/>
    <w:rsid w:val="4D346F6B"/>
    <w:rsid w:val="530F6A58"/>
    <w:rsid w:val="54F407FB"/>
    <w:rsid w:val="56007BF1"/>
    <w:rsid w:val="5CCC1C7C"/>
    <w:rsid w:val="5E6F02DC"/>
    <w:rsid w:val="61642270"/>
    <w:rsid w:val="62955CFC"/>
    <w:rsid w:val="66056220"/>
    <w:rsid w:val="67184229"/>
    <w:rsid w:val="68464DC5"/>
    <w:rsid w:val="688B507D"/>
    <w:rsid w:val="694F5ED5"/>
    <w:rsid w:val="70AE1FB3"/>
    <w:rsid w:val="77935205"/>
    <w:rsid w:val="7B684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numPr>
        <w:ilvl w:val="0"/>
        <w:numId w:val="1"/>
      </w:numPr>
      <w:adjustRightInd w:val="0"/>
      <w:spacing w:line="400" w:lineRule="exact"/>
      <w:jc w:val="center"/>
      <w:textAlignment w:val="baseline"/>
      <w:outlineLvl w:val="0"/>
    </w:pPr>
    <w:rPr>
      <w:rFonts w:eastAsia="黑体" w:asciiTheme="minorAscii" w:hAnsiTheme="minorAscii"/>
      <w:kern w:val="0"/>
      <w:sz w:val="32"/>
      <w:szCs w:val="20"/>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宋体"/>
      <w:b/>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styleId="5">
    <w:name w:val="Normal Indent"/>
    <w:basedOn w:val="1"/>
    <w:qFormat/>
    <w:uiPriority w:val="0"/>
    <w:pPr>
      <w:ind w:firstLine="420" w:firstLineChars="2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2023-10-07T07:06:00Z</dcterms:created>
  <dc:creator>田心蕊</dc:creator>
  <cp:lastModifiedBy>田心蕊</cp:lastModifiedBy>
  <dcterms:modified xsi:type="dcterms:W3CDTF">2023-10-07T09:24:10Z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9E7A782088D445B6AE4A24E38A8AB62B_13</vt:lpwstr>
  </property>
</Properties>
</file>