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720"/>
      </w:pPr>
      <w:r>
        <w:rPr>
          <w:rFonts w:ascii="Calibri" w:hAnsi="Calibri"/>
          <w:b/>
          <w:color w:val="2E74B5"/>
          <w:sz w:val="20"/>
        </w:rPr>
        <w:t>AI PROTOTYPE PLATFORM</w:t>
      </w:r>
    </w:p>
    <w:p>
      <w:pPr>
        <w:pStyle w:val="Title"/>
        <w:spacing w:before="1160"/>
      </w:pPr>
      <w:r>
        <w:t>Infraestructura y funcionamiento de la plataforma</w:t>
      </w:r>
    </w:p>
    <w:p>
      <w:pPr>
        <w:pStyle w:val="Subtitle"/>
      </w:pPr>
      <w:r>
        <w:t>Arquitectura de aplicación, contenedores, CI/CD y diseño OCI Always Free para demostraciones web.</w:t>
      </w:r>
    </w:p>
    <w:p>
      <w:pPr>
        <w:spacing w:before="600" w:after="360"/>
      </w:pPr>
      <w:r>
        <w:t>Estado: estructura y Terraform preparados localmente; no existe un despliegue OCI activo ni una instancia creada.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4824"/>
        <w:gridCol w:w="4824"/>
      </w:tblGrid>
      <w:tr>
        <w:trPr>
          <w:cantSplit/>
        </w:trPr>
        <w:tc>
          <w:tcPr>
            <w:tcW w:type="dxa" w:w="19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Repositorio</w:t>
            </w:r>
          </w:p>
        </w:tc>
        <w:tc>
          <w:tcPr>
            <w:tcW w:type="dxa" w:w="7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JUM1TO/ai-prototype-platform</w:t>
            </w:r>
          </w:p>
        </w:tc>
      </w:tr>
      <w:tr>
        <w:trPr>
          <w:cantSplit/>
        </w:trPr>
        <w:tc>
          <w:tcPr>
            <w:tcW w:type="dxa" w:w="19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Fecha de referencia</w:t>
            </w:r>
          </w:p>
        </w:tc>
        <w:tc>
          <w:tcPr>
            <w:tcW w:type="dxa" w:w="7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1 de septiembre de 2026</w:t>
            </w:r>
          </w:p>
        </w:tc>
      </w:tr>
      <w:tr>
        <w:trPr>
          <w:cantSplit/>
        </w:trPr>
        <w:tc>
          <w:tcPr>
            <w:tcW w:type="dxa" w:w="19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Alcance</w:t>
            </w:r>
          </w:p>
        </w:tc>
        <w:tc>
          <w:tcPr>
            <w:tcW w:type="dxa" w:w="7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Prototipos con datos sintéticos y demostración web</w:t>
            </w:r>
          </w:p>
        </w:tc>
      </w:tr>
    </w:tbl>
    <w:p>
      <w:pPr>
        <w:spacing w:before="840"/>
      </w:pPr>
      <w:r>
        <w:t>Documento de trabajo · versión 1.1 · 1 de septiembre de 2026</w:t>
      </w:r>
    </w:p>
    <w:p>
      <w:r>
        <w:br w:type="page"/>
      </w:r>
    </w:p>
    <w:p>
      <w:pPr>
        <w:spacing w:after="40"/>
      </w:pPr>
      <w:r>
        <w:rPr>
          <w:b/>
          <w:color w:val="5B6573"/>
          <w:sz w:val="17"/>
        </w:rPr>
        <w:t>LECTURA EJECUTIVA</w:t>
      </w:r>
    </w:p>
    <w:p>
      <w:pPr>
        <w:pStyle w:val="Heading1"/>
      </w:pPr>
      <w:r>
        <w:t>1. Alcance y estado actual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648"/>
      </w:tblGrid>
      <w:tr>
        <w:trPr>
          <w:cantSplit/>
        </w:trPr>
        <w:tc>
          <w:tcPr>
            <w:tcW w:type="dxa" w:w="9360"/>
            <w:tcMar>
              <w:top w:w="130" w:type="dxa"/>
              <w:start w:w="180" w:type="dxa"/>
              <w:bottom w:w="130" w:type="dxa"/>
              <w:end w:w="180" w:type="dxa"/>
            </w:tcMar>
            <w:shd w:fill="FBEAEA"/>
          </w:tcPr>
          <w:p>
            <w:r>
              <w:t>Importante</w:t>
              <w:br/>
              <w:t>La preparación de AWS se detuvo sin ejecutar terraform plan ni terraform apply y sin crear recursos. La nueva definición apunta a una tenancy OCI separada que aún no se ha usado; ningún acceso a Oracle se realizó durante esta actualización.</w:t>
            </w:r>
          </w:p>
        </w:tc>
      </w:tr>
    </w:tbl>
    <w:p>
      <w:r>
        <w:t>La plataforma está diseñada como una base reutilizable para prototipos de IA adaptados a clientes distintos. El portal y la API cambian su comportamiento mediante un manifiesto de solución; las piezas comunes se mantienen estables para reducir tiempo y riesgo.</w:t>
      </w:r>
    </w:p>
    <w:p>
      <w:pPr>
        <w:pStyle w:val="Heading2"/>
      </w:pPr>
      <w:r>
        <w:t>Qué existe hoy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rPr>
          <w:tblHeader w:val="true"/>
          <w:cantSplit/>
        </w:trPr>
        <w:tc>
          <w:tcPr>
            <w:tcW w:type="dxa" w:w="235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Elemento</w:t>
            </w:r>
          </w:p>
        </w:tc>
        <w:tc>
          <w:tcPr>
            <w:tcW w:type="dxa" w:w="205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Estado</w:t>
            </w:r>
          </w:p>
        </w:tc>
        <w:tc>
          <w:tcPr>
            <w:tcW w:type="dxa" w:w="496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Descripción</w:t>
            </w:r>
          </w:p>
        </w:tc>
      </w:tr>
      <w:tr>
        <w:trPr>
          <w:cantSplit/>
        </w:trPr>
        <w:tc>
          <w:tcPr>
            <w:tcW w:type="dxa" w:w="235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r>
              <w:t>Repositorio privado</w:t>
            </w:r>
          </w:p>
        </w:tc>
        <w:tc>
          <w:tcPr>
            <w:tcW w:type="dxa" w:w="205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r>
              <w:t>Implementado</w:t>
            </w:r>
          </w:p>
        </w:tc>
        <w:tc>
          <w:tcPr>
            <w:tcW w:type="dxa" w:w="49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r>
              <w:t>Monorepo con aplicaciones, paquetes, soluciones, CI e infraestructura.</w:t>
            </w:r>
          </w:p>
        </w:tc>
      </w:tr>
      <w:tr>
        <w:trPr>
          <w:cantSplit/>
        </w:trPr>
        <w:tc>
          <w:tcPr>
            <w:tcW w:type="dxa" w:w="235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r>
              <w:t>Portal + API</w:t>
            </w:r>
          </w:p>
        </w:tc>
        <w:tc>
          <w:tcPr>
            <w:tcW w:type="dxa" w:w="205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r>
              <w:t>Implementado</w:t>
            </w:r>
          </w:p>
        </w:tc>
        <w:tc>
          <w:tcPr>
            <w:tcW w:type="dxa" w:w="49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r>
              <w:t>React/Vite y Fastify; ejecutables localmente con pnpm o Docker.</w:t>
            </w:r>
          </w:p>
        </w:tc>
      </w:tr>
      <w:tr>
        <w:trPr>
          <w:cantSplit/>
        </w:trPr>
        <w:tc>
          <w:tcPr>
            <w:tcW w:type="dxa" w:w="235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r>
              <w:t>Runtime de IA</w:t>
            </w:r>
          </w:p>
        </w:tc>
        <w:tc>
          <w:tcPr>
            <w:tcW w:type="dxa" w:w="205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r>
              <w:t>Base funcional</w:t>
            </w:r>
          </w:p>
        </w:tc>
        <w:tc>
          <w:tcPr>
            <w:tcW w:type="dxa" w:w="49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r>
              <w:t>Proveedor mock y contrato de agentes; proveedores reales pendientes.</w:t>
            </w:r>
          </w:p>
        </w:tc>
      </w:tr>
      <w:tr>
        <w:trPr>
          <w:cantSplit/>
        </w:trPr>
        <w:tc>
          <w:tcPr>
            <w:tcW w:type="dxa" w:w="235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r>
              <w:t>Manifiesto</w:t>
            </w:r>
          </w:p>
        </w:tc>
        <w:tc>
          <w:tcPr>
            <w:tcW w:type="dxa" w:w="205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r>
              <w:t>Implementado</w:t>
            </w:r>
          </w:p>
        </w:tc>
        <w:tc>
          <w:tcPr>
            <w:tcW w:type="dxa" w:w="49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r>
              <w:t>SOLUTION_ID carga y valida solutions/&lt;id&gt;/solution.yaml.</w:t>
            </w:r>
          </w:p>
        </w:tc>
      </w:tr>
      <w:tr>
        <w:trPr>
          <w:cantSplit/>
        </w:trPr>
        <w:tc>
          <w:tcPr>
            <w:tcW w:type="dxa" w:w="235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r>
              <w:t>CI</w:t>
            </w:r>
          </w:p>
        </w:tc>
        <w:tc>
          <w:tcPr>
            <w:tcW w:type="dxa" w:w="205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r>
              <w:t>Implementado</w:t>
            </w:r>
          </w:p>
        </w:tc>
        <w:tc>
          <w:tcPr>
            <w:tcW w:type="dxa" w:w="49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r>
              <w:t>Checks, pruebas, build y construcción de imágenes.</w:t>
            </w:r>
          </w:p>
        </w:tc>
      </w:tr>
      <w:tr>
        <w:trPr>
          <w:cantSplit/>
        </w:trPr>
        <w:tc>
          <w:tcPr>
            <w:tcW w:type="dxa" w:w="235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r>
              <w:t>Terraform OCI</w:t>
            </w:r>
          </w:p>
        </w:tc>
        <w:tc>
          <w:tcPr>
            <w:tcW w:type="dxa" w:w="205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r>
              <w:t>Preparado localmente</w:t>
            </w:r>
          </w:p>
        </w:tc>
        <w:tc>
          <w:tcPr>
            <w:tcW w:type="dxa" w:w="49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r>
              <w:t>Object Storage, VCN, IAM, Compute A1 y Run Command; no aplicado.</w:t>
            </w:r>
          </w:p>
        </w:tc>
      </w:tr>
      <w:tr>
        <w:trPr>
          <w:cantSplit/>
        </w:trPr>
        <w:tc>
          <w:tcPr>
            <w:tcW w:type="dxa" w:w="235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r>
              <w:t>Sitio público</w:t>
            </w:r>
          </w:p>
        </w:tc>
        <w:tc>
          <w:tcPr>
            <w:tcW w:type="dxa" w:w="205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r>
              <w:t>Pendiente</w:t>
            </w:r>
          </w:p>
        </w:tc>
        <w:tc>
          <w:tcPr>
            <w:tcW w:type="dxa" w:w="49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r>
              <w:t>Requiere tenancy nueva, revisión del plan y terraform apply autorizado.</w:t>
            </w:r>
          </w:p>
        </w:tc>
      </w:tr>
    </w:tbl>
    <w:p>
      <w:pPr>
        <w:spacing w:after="0"/>
      </w:pPr>
    </w:p>
    <w:p>
      <w:r>
        <w:t>La política activa sólo acepta data.classification = synthetic-only y exige retención positiva. Esto es una guarda del prototipo, no una certificación para procesar datos reales.</w:t>
      </w:r>
    </w:p>
    <w:p>
      <w:r>
        <w:br w:type="page"/>
      </w:r>
    </w:p>
    <w:p>
      <w:pPr>
        <w:spacing w:after="40"/>
      </w:pPr>
      <w:r>
        <w:rPr>
          <w:b/>
          <w:color w:val="5B6573"/>
          <w:sz w:val="17"/>
        </w:rPr>
        <w:t>CÓMO SE CONECTAN LAS PIEZAS</w:t>
      </w:r>
    </w:p>
    <w:p>
      <w:pPr>
        <w:pStyle w:val="Heading1"/>
      </w:pPr>
      <w:r>
        <w:t>2. Arquitectura lógica</w:t>
      </w:r>
    </w:p>
    <w:p>
      <w:pPr>
        <w:spacing w:after="80"/>
        <w:jc w:val="center"/>
      </w:pPr>
      <w:r>
        <w:drawing>
          <wp:inline xmlns:a="http://schemas.openxmlformats.org/drawingml/2006/main" xmlns:pic="http://schemas.openxmlformats.org/drawingml/2006/picture">
            <wp:extent cx="5989320" cy="2844927"/>
            <wp:docPr id="1" name="Picture 1" descr="Diagrama de flujo desde el navegador hasta portal, API, runtime de IA y canal de despliegue GitHub Actions a ECR y EC2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rquitectura_plataforma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89320" cy="284492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El navegador accede al portal servido por Nginx. El portal consulta la API para conocer la solución activa y ejecutar capacidades. La API carga el manifiesto, valida solicitudes y delega al runtime de IA. El runtime normaliza proveedores y, en el futuro, expondrá únicamente herramientas aprobadas.</w:t>
      </w:r>
    </w:p>
    <w:p>
      <w:pPr>
        <w:pStyle w:val="Heading2"/>
      </w:pPr>
      <w:r>
        <w:t>Separación por capas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rPr>
          <w:tblHeader w:val="true"/>
          <w:cantSplit/>
        </w:trPr>
        <w:tc>
          <w:tcPr>
            <w:tcW w:type="dxa" w:w="20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  <w:color w:val="1F4D78"/>
              </w:rPr>
              <w:t>Capa</w:t>
            </w:r>
          </w:p>
        </w:tc>
        <w:tc>
          <w:tcPr>
            <w:tcW w:type="dxa" w:w="47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  <w:color w:val="1F4D78"/>
              </w:rPr>
              <w:t>Responsabilidad</w:t>
            </w:r>
          </w:p>
        </w:tc>
        <w:tc>
          <w:tcPr>
            <w:tcW w:type="dxa" w:w="266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  <w:color w:val="1F4D78"/>
              </w:rPr>
              <w:t>Cambio esperado</w:t>
            </w:r>
          </w:p>
        </w:tc>
      </w:tr>
      <w:tr>
        <w:trPr>
          <w:cantSplit/>
        </w:trPr>
        <w:tc>
          <w:tcPr>
            <w:tcW w:type="dxa" w:w="20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r>
              <w:t>Plataforma</w:t>
            </w:r>
          </w:p>
        </w:tc>
        <w:tc>
          <w:tcPr>
            <w:tcW w:type="dxa" w:w="47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r>
              <w:t>Portal base, contratos, runtime, despliegue y controles.</w:t>
            </w:r>
          </w:p>
        </w:tc>
        <w:tc>
          <w:tcPr>
            <w:tcW w:type="dxa" w:w="26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r>
              <w:t>Lento y compatible.</w:t>
            </w:r>
          </w:p>
        </w:tc>
      </w:tr>
      <w:tr>
        <w:trPr>
          <w:cantSplit/>
        </w:trPr>
        <w:tc>
          <w:tcPr>
            <w:tcW w:type="dxa" w:w="20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r>
              <w:t>Solución</w:t>
            </w:r>
          </w:p>
        </w:tc>
        <w:tc>
          <w:tcPr>
            <w:tcW w:type="dxa" w:w="47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r>
              <w:t>Branding, features, agentes y reglas del cliente.</w:t>
            </w:r>
          </w:p>
        </w:tc>
        <w:tc>
          <w:tcPr>
            <w:tcW w:type="dxa" w:w="26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r>
              <w:t>Frecuente por proyecto.</w:t>
            </w:r>
          </w:p>
        </w:tc>
      </w:tr>
      <w:tr>
        <w:trPr>
          <w:cantSplit/>
        </w:trPr>
        <w:tc>
          <w:tcPr>
            <w:tcW w:type="dxa" w:w="20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r>
              <w:t>Capacidades</w:t>
            </w:r>
          </w:p>
        </w:tc>
        <w:tc>
          <w:tcPr>
            <w:tcW w:type="dxa" w:w="47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r>
              <w:t>Documentos, alertas, búsqueda, conectores y herramientas.</w:t>
            </w:r>
          </w:p>
        </w:tc>
        <w:tc>
          <w:tcPr>
            <w:tcW w:type="dxa" w:w="26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r>
              <w:t>Evoluciona por reutilización.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648"/>
      </w:tblGrid>
      <w:tr>
        <w:trPr>
          <w:cantSplit/>
        </w:trPr>
        <w:tc>
          <w:tcPr>
            <w:tcW w:type="dxa" w:w="9360"/>
            <w:tcMar>
              <w:top w:w="130" w:type="dxa"/>
              <w:start w:w="180" w:type="dxa"/>
              <w:bottom w:w="130" w:type="dxa"/>
              <w:end w:w="180" w:type="dxa"/>
            </w:tcMar>
            <w:shd w:fill="EAF4EA"/>
          </w:tcPr>
          <w:p>
            <w:pPr>
              <w:spacing w:after="40"/>
            </w:pPr>
            <w:r>
              <w:rPr>
                <w:b/>
                <w:color w:val="1F4D78"/>
              </w:rPr>
              <w:t>Ventaja del diseño</w:t>
            </w:r>
          </w:p>
          <w:p>
            <w:pPr>
              <w:spacing w:after="0"/>
            </w:pPr>
            <w:r>
              <w:t>Cambiar de un prototipo documental a uno de alertas o agentes por API no obliga a reconstruir la red ni el pipeline. Se cambia la solución y se incorporan sólo las capacidades necesarias.</w:t>
            </w:r>
          </w:p>
        </w:tc>
      </w:tr>
    </w:tbl>
    <w:p>
      <w:r>
        <w:br w:type="page"/>
      </w:r>
    </w:p>
    <w:p>
      <w:pPr>
        <w:spacing w:after="40"/>
      </w:pPr>
      <w:r>
        <w:rPr>
          <w:b/>
          <w:color w:val="5B6573"/>
          <w:sz w:val="17"/>
        </w:rPr>
        <w:t>CÓDIGO Y CONTENEDORES</w:t>
      </w:r>
    </w:p>
    <w:p>
      <w:pPr>
        <w:pStyle w:val="Heading1"/>
      </w:pPr>
      <w:r>
        <w:t>3. Componentes de aplicación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rPr>
          <w:tblHeader w:val="true"/>
          <w:cantSplit/>
        </w:trPr>
        <w:tc>
          <w:tcPr>
            <w:tcW w:type="dxa" w:w="245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  <w:color w:val="1F4D78"/>
              </w:rPr>
              <w:t>Componente</w:t>
            </w:r>
          </w:p>
        </w:tc>
        <w:tc>
          <w:tcPr>
            <w:tcW w:type="dxa" w:w="255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  <w:color w:val="1F4D78"/>
              </w:rPr>
              <w:t>Tecnología</w:t>
            </w:r>
          </w:p>
        </w:tc>
        <w:tc>
          <w:tcPr>
            <w:tcW w:type="dxa" w:w="436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  <w:color w:val="1F4D78"/>
              </w:rPr>
              <w:t>Función</w:t>
            </w:r>
          </w:p>
        </w:tc>
      </w:tr>
      <w:tr>
        <w:trPr>
          <w:cantSplit/>
        </w:trPr>
        <w:tc>
          <w:tcPr>
            <w:tcW w:type="dxa" w:w="245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r>
              <w:t>apps/portal</w:t>
            </w:r>
          </w:p>
        </w:tc>
        <w:tc>
          <w:tcPr>
            <w:tcW w:type="dxa" w:w="255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r>
              <w:t>React + Vite + Nginx</w:t>
            </w:r>
          </w:p>
        </w:tc>
        <w:tc>
          <w:tcPr>
            <w:tcW w:type="dxa" w:w="43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r>
              <w:t>Interfaz de demo, branding dinámico y proxy hacia /api.</w:t>
            </w:r>
          </w:p>
        </w:tc>
      </w:tr>
      <w:tr>
        <w:trPr>
          <w:cantSplit/>
        </w:trPr>
        <w:tc>
          <w:tcPr>
            <w:tcW w:type="dxa" w:w="245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r>
              <w:t>apps/api</w:t>
            </w:r>
          </w:p>
        </w:tc>
        <w:tc>
          <w:tcPr>
            <w:tcW w:type="dxa" w:w="255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r>
              <w:t>Fastify + TypeScript</w:t>
            </w:r>
          </w:p>
        </w:tc>
        <w:tc>
          <w:tcPr>
            <w:tcW w:type="dxa" w:w="43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r>
              <w:t>Health check, manifiesto, contrato público y ejecución de agentes.</w:t>
            </w:r>
          </w:p>
        </w:tc>
      </w:tr>
      <w:tr>
        <w:trPr>
          <w:cantSplit/>
        </w:trPr>
        <w:tc>
          <w:tcPr>
            <w:tcW w:type="dxa" w:w="245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r>
              <w:t>packages/contracts</w:t>
            </w:r>
          </w:p>
        </w:tc>
        <w:tc>
          <w:tcPr>
            <w:tcW w:type="dxa" w:w="255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r>
              <w:t>TypeScript</w:t>
            </w:r>
          </w:p>
        </w:tc>
        <w:tc>
          <w:tcPr>
            <w:tcW w:type="dxa" w:w="43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r>
              <w:t>Tipos compartidos de solución y agentes.</w:t>
            </w:r>
          </w:p>
        </w:tc>
      </w:tr>
      <w:tr>
        <w:trPr>
          <w:cantSplit/>
        </w:trPr>
        <w:tc>
          <w:tcPr>
            <w:tcW w:type="dxa" w:w="245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r>
              <w:t>packages/ai-runtime</w:t>
            </w:r>
          </w:p>
        </w:tc>
        <w:tc>
          <w:tcPr>
            <w:tcW w:type="dxa" w:w="255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r>
              <w:t>TypeScript</w:t>
            </w:r>
          </w:p>
        </w:tc>
        <w:tc>
          <w:tcPr>
            <w:tcW w:type="dxa" w:w="43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r>
              <w:t>Abstracción del proveedor y ejecución controlada.</w:t>
            </w:r>
          </w:p>
        </w:tc>
      </w:tr>
      <w:tr>
        <w:trPr>
          <w:cantSplit/>
        </w:trPr>
        <w:tc>
          <w:tcPr>
            <w:tcW w:type="dxa" w:w="245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r>
              <w:t>solutions/&lt;id&gt;</w:t>
            </w:r>
          </w:p>
        </w:tc>
        <w:tc>
          <w:tcPr>
            <w:tcW w:type="dxa" w:w="255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r>
              <w:t>YAML</w:t>
            </w:r>
          </w:p>
        </w:tc>
        <w:tc>
          <w:tcPr>
            <w:tcW w:type="dxa" w:w="43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r>
              <w:t>Configuración por cliente sin secretos.</w:t>
            </w:r>
          </w:p>
        </w:tc>
      </w:tr>
      <w:tr>
        <w:trPr>
          <w:cantSplit/>
        </w:trPr>
        <w:tc>
          <w:tcPr>
            <w:tcW w:type="dxa" w:w="245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r>
              <w:t>docker-compose.yml</w:t>
            </w:r>
          </w:p>
        </w:tc>
        <w:tc>
          <w:tcPr>
            <w:tcW w:type="dxa" w:w="255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r>
              <w:t>Docker Compose</w:t>
            </w:r>
          </w:p>
        </w:tc>
        <w:tc>
          <w:tcPr>
            <w:tcW w:type="dxa" w:w="43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r>
              <w:t>Ejecución local equivalente: portal en 3000 y API en 8080.</w:t>
            </w:r>
          </w:p>
        </w:tc>
      </w:tr>
    </w:tbl>
    <w:p>
      <w:pPr>
        <w:spacing w:after="0"/>
      </w:pPr>
    </w:p>
    <w:p>
      <w:pPr>
        <w:pStyle w:val="Heading2"/>
      </w:pPr>
      <w:r>
        <w:t>Carga de una solución</w:t>
      </w:r>
    </w:p>
    <w:p>
      <w:pPr>
        <w:pStyle w:val="ListNumber"/>
        <w:numPr>
          <w:ilvl w:val="0"/>
          <w:numId w:val="10"/>
        </w:numPr>
      </w:pPr>
      <w:r>
        <w:t>SOLUTION_ID selecciona un identificador en kebab-case.</w:t>
      </w:r>
    </w:p>
    <w:p>
      <w:pPr>
        <w:pStyle w:val="ListNumber"/>
        <w:numPr>
          <w:ilvl w:val="0"/>
          <w:numId w:val="10"/>
        </w:numPr>
      </w:pPr>
      <w:r>
        <w:t>La API lee solutions/&lt;SOLUTION_ID&gt;/solution.yaml.</w:t>
      </w:r>
    </w:p>
    <w:p>
      <w:pPr>
        <w:pStyle w:val="ListNumber"/>
        <w:numPr>
          <w:ilvl w:val="0"/>
          <w:numId w:val="10"/>
        </w:numPr>
      </w:pPr>
      <w:r>
        <w:t>Valida nombre, versión, branding, features, servicios, IA y política de datos.</w:t>
      </w:r>
    </w:p>
    <w:p>
      <w:pPr>
        <w:pStyle w:val="ListNumber"/>
        <w:numPr>
          <w:ilvl w:val="0"/>
          <w:numId w:val="10"/>
        </w:numPr>
      </w:pPr>
      <w:r>
        <w:t>Si falta el archivo, el ID no coincide o la clasificación no es synthetic-only, la API no inicia.</w:t>
      </w:r>
    </w:p>
    <w:p>
      <w:pPr>
        <w:pStyle w:val="ListNumber"/>
        <w:numPr>
          <w:ilvl w:val="0"/>
          <w:numId w:val="10"/>
        </w:numPr>
      </w:pPr>
      <w:r>
        <w:t>El portal consulta /api/solution y adopta título, color y capacidades expuestas.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648"/>
      </w:tblGrid>
      <w:tr>
        <w:trPr>
          <w:cantSplit/>
        </w:trPr>
        <w:tc>
          <w:tcPr>
            <w:tcW w:type="dxa" w:w="9360"/>
            <w:tcMar>
              <w:top w:w="130" w:type="dxa"/>
              <w:start w:w="180" w:type="dxa"/>
              <w:bottom w:w="130" w:type="dxa"/>
              <w:end w:w="180" w:type="dxa"/>
            </w:tcMar>
            <w:shd w:fill="FFF3CD"/>
          </w:tcPr>
          <w:p>
            <w:pPr>
              <w:spacing w:after="40"/>
            </w:pPr>
            <w:r>
              <w:rPr>
                <w:b/>
                <w:color w:val="1F4D78"/>
              </w:rPr>
              <w:t>Situación del runtime</w:t>
            </w:r>
          </w:p>
          <w:p>
            <w:pPr>
              <w:spacing w:after="0"/>
            </w:pPr>
            <w:r>
              <w:t>La implementación actual usa MockModelProvider. Para OpenAI u otro proveedor se debe añadir un adaptador de servidor, secretos en ejecución, timeout, límites, evals y aprobación humana para acciones externas.</w:t>
            </w:r>
          </w:p>
        </w:tc>
      </w:tr>
    </w:tbl>
    <w:p>
      <w:r>
        <w:br w:type="page"/>
      </w:r>
    </w:p>
    <w:p>
      <w:pPr>
        <w:spacing w:after="40"/>
      </w:pPr>
      <w:r>
        <w:rPr>
          <w:b/>
          <w:color w:val="5B6573"/>
          <w:sz w:val="17"/>
        </w:rPr>
        <w:t>DISEÑO FREE TIER</w:t>
      </w:r>
    </w:p>
    <w:p>
      <w:pPr>
        <w:pStyle w:val="Heading1"/>
      </w:pPr>
      <w:r>
        <w:t>4. Infraestructura OCI definida</w:t>
      </w:r>
    </w:p>
    <w:p>
      <w:r>
        <w:t>Terraform está dividido en bootstrap y ambiente dev. Bootstrap crea el bucket de estado remoto; dev crea red, Object Storage, Compute e IAM. Los valores finales dependen exclusivamente de la cuenta OCI nueva y autorizada.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rPr>
          <w:tblHeader w:val="true"/>
          <w:cantSplit/>
        </w:trPr>
        <w:tc>
          <w:tcPr>
            <w:tcW w:type="dxa" w:w="21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Recurso</w:t>
            </w:r>
          </w:p>
        </w:tc>
        <w:tc>
          <w:tcPr>
            <w:tcW w:type="dxa" w:w="445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Configuración preparada</w:t>
            </w:r>
          </w:p>
        </w:tc>
        <w:tc>
          <w:tcPr>
            <w:tcW w:type="dxa" w:w="281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Motivo</w:t>
            </w:r>
          </w:p>
        </w:tc>
      </w:tr>
      <w:tr>
        <w:trPr>
          <w:cantSplit/>
        </w:trP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r>
              <w:t>Object Storage</w:t>
            </w:r>
          </w:p>
        </w:tc>
        <w:tc>
          <w:tcPr>
            <w:tcW w:type="dxa" w:w="445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r>
              <w:t>Buckets privados para estado y archivos OCI; versionado y limpieza.</w:t>
            </w:r>
          </w:p>
        </w:tc>
        <w:tc>
          <w:tcPr>
            <w:tcW w:type="dxa" w:w="281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r>
              <w:t>Estado recuperable y artefactos dentro de la cuota gratuita.</w:t>
            </w:r>
          </w:p>
        </w:tc>
      </w:tr>
      <w:tr>
        <w:trPr>
          <w:cantSplit/>
        </w:trP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r>
              <w:t>VCN</w:t>
            </w:r>
          </w:p>
        </w:tc>
        <w:tc>
          <w:tcPr>
            <w:tcW w:type="dxa" w:w="445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r>
              <w:t>10.42.0.0/16, subnet pública e Internet Gateway.</w:t>
            </w:r>
          </w:p>
        </w:tc>
        <w:tc>
          <w:tcPr>
            <w:tcW w:type="dxa" w:w="281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r>
              <w:t>Arquitectura mínima para un prototipo web.</w:t>
            </w:r>
          </w:p>
        </w:tc>
      </w:tr>
      <w:tr>
        <w:trPr>
          <w:cantSplit/>
        </w:trP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r>
              <w:t>NSG</w:t>
            </w:r>
          </w:p>
        </w:tc>
        <w:tc>
          <w:tcPr>
            <w:tcW w:type="dxa" w:w="445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r>
              <w:t>Entradas 80/443; security list sin reglas; puerto 22 cerrado.</w:t>
            </w:r>
          </w:p>
        </w:tc>
        <w:tc>
          <w:tcPr>
            <w:tcW w:type="dxa" w:w="281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r>
              <w:t>Sitio público y administración por Run Command.</w:t>
            </w:r>
          </w:p>
        </w:tc>
      </w:tr>
      <w:tr>
        <w:trPr>
          <w:cantSplit/>
        </w:trP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r>
              <w:t>Compute</w:t>
            </w:r>
          </w:p>
        </w:tc>
        <w:tc>
          <w:tcPr>
            <w:tcW w:type="dxa" w:w="445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r>
              <w:t>Oracle Linux 9, VM.Standard.A1.Flex, 1 OCPU y 6 GiB.</w:t>
            </w:r>
          </w:p>
        </w:tc>
        <w:tc>
          <w:tcPr>
            <w:tcW w:type="dxa" w:w="281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r>
              <w:t>ARM64 con margen dentro de la asignación Always Free vigente.</w:t>
            </w:r>
          </w:p>
        </w:tc>
      </w:tr>
      <w:tr>
        <w:trPr>
          <w:cantSplit/>
        </w:trP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r>
              <w:t>Boot volume</w:t>
            </w:r>
          </w:p>
        </w:tc>
        <w:tc>
          <w:tcPr>
            <w:tcW w:type="dxa" w:w="445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r>
              <w:t>50 GiB dentro de la cuota combinada de bloques gratuitos.</w:t>
            </w:r>
          </w:p>
        </w:tc>
        <w:tc>
          <w:tcPr>
            <w:tcW w:type="dxa" w:w="281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r>
              <w:t>Tamaño base para sistema, Podman e imágenes.</w:t>
            </w:r>
          </w:p>
        </w:tc>
      </w:tr>
      <w:tr>
        <w:trPr>
          <w:cantSplit/>
        </w:trP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r>
              <w:t>Artefactos</w:t>
            </w:r>
          </w:p>
        </w:tc>
        <w:tc>
          <w:tcPr>
            <w:tcW w:type="dxa" w:w="445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r>
              <w:t>Archivos OCI ARM64 bajo deployments/&lt;SHA&gt;, con retención de 14 días.</w:t>
            </w:r>
          </w:p>
        </w:tc>
        <w:tc>
          <w:tcPr>
            <w:tcW w:type="dxa" w:w="281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r>
              <w:t>Build fuera de la VM y rollback por SHA.</w:t>
            </w:r>
          </w:p>
        </w:tc>
      </w:tr>
      <w:tr>
        <w:trPr>
          <w:cantSplit/>
        </w:trP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r>
              <w:t>IAM</w:t>
            </w:r>
          </w:p>
        </w:tc>
        <w:tc>
          <w:tcPr>
            <w:tcW w:type="dxa" w:w="445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r>
              <w:t>Instance Principal lee sólo el bucket y atiende Run Command.</w:t>
            </w:r>
          </w:p>
        </w:tc>
        <w:tc>
          <w:tcPr>
            <w:tcW w:type="dxa" w:w="281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r>
              <w:t>Sin SSH ni auth token de registry.</w:t>
            </w:r>
          </w:p>
        </w:tc>
      </w:tr>
      <w:tr>
        <w:trPr>
          <w:cantSplit/>
        </w:trP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r>
              <w:t>GitHub Actions</w:t>
            </w:r>
          </w:p>
        </w:tc>
        <w:tc>
          <w:tcPr>
            <w:tcW w:type="dxa" w:w="445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r>
              <w:t>Usuario técnico limitado, build ARM64 y Run Command.</w:t>
            </w:r>
          </w:p>
        </w:tc>
        <w:tc>
          <w:tcPr>
            <w:tcW w:type="dxa" w:w="281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r>
              <w:t>Despliegue automatizado sin abrir SSH.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648"/>
      </w:tblGrid>
      <w:tr>
        <w:trPr>
          <w:cantSplit/>
        </w:trPr>
        <w:tc>
          <w:tcPr>
            <w:tcW w:type="dxa" w:w="9360"/>
            <w:tcMar>
              <w:top w:w="130" w:type="dxa"/>
              <w:start w:w="180" w:type="dxa"/>
              <w:bottom w:w="130" w:type="dxa"/>
              <w:end w:w="180" w:type="dxa"/>
            </w:tcMar>
            <w:shd w:fill="FFF3CD"/>
          </w:tcPr>
          <w:p>
            <w:r>
              <w:t>Costo y capacidad</w:t>
              <w:br/>
              <w:t>La tenancy dispone actualmente de 2 OCPU y 12 GiB A1, 200 GB de Block Volume y 20 GB de Object Storage. El diseño usa 1 OCPU, 6 GiB y 50 GiB; los artefactos se eliminan a los 14 días. Revise capacidad, transferencia, solicitudes y alertas antes de apply.</w:t>
            </w:r>
          </w:p>
        </w:tc>
      </w:tr>
    </w:tbl>
    <w:p>
      <w:r>
        <w:br w:type="page"/>
      </w:r>
    </w:p>
    <w:p>
      <w:pPr>
        <w:spacing w:after="40"/>
      </w:pPr>
      <w:r>
        <w:rPr>
          <w:b/>
          <w:color w:val="5B6573"/>
          <w:sz w:val="17"/>
        </w:rPr>
        <w:t>DEL COMMIT A LA INSTANCIA</w:t>
      </w:r>
    </w:p>
    <w:p>
      <w:pPr>
        <w:pStyle w:val="Heading1"/>
      </w:pPr>
      <w:r>
        <w:t>5. Integración y despliegue</w:t>
      </w:r>
    </w:p>
    <w:p>
      <w:pPr>
        <w:pStyle w:val="Heading2"/>
      </w:pPr>
      <w:r>
        <w:t>Pipeline de validación</w:t>
      </w:r>
    </w:p>
    <w:p>
      <w:pPr>
        <w:pStyle w:val="ListNumber"/>
        <w:numPr>
          <w:ilvl w:val="0"/>
          <w:numId w:val="11"/>
        </w:numPr>
      </w:pPr>
      <w:r>
        <w:t>Un pull request o push a main dispara CI.</w:t>
      </w:r>
    </w:p>
    <w:p>
      <w:pPr>
        <w:pStyle w:val="ListNumber"/>
        <w:numPr>
          <w:ilvl w:val="0"/>
          <w:numId w:val="11"/>
        </w:numPr>
      </w:pPr>
      <w:r>
        <w:t>pnpm instala dependencias bloqueadas y ejecuta check, pruebas y build.</w:t>
      </w:r>
    </w:p>
    <w:p>
      <w:pPr>
        <w:pStyle w:val="ListNumber"/>
        <w:numPr>
          <w:ilvl w:val="0"/>
          <w:numId w:val="11"/>
        </w:numPr>
      </w:pPr>
      <w:r>
        <w:t>Docker Buildx construye las imágenes de API y portal para verificar reproducibilidad.</w:t>
      </w:r>
    </w:p>
    <w:p>
      <w:pPr>
        <w:pStyle w:val="ListNumber"/>
        <w:numPr>
          <w:ilvl w:val="0"/>
          <w:numId w:val="11"/>
        </w:numPr>
      </w:pPr>
      <w:r>
        <w:t>El pull request sólo se integra cuando las comprobaciones y revisiones están aprobadas.</w:t>
      </w:r>
    </w:p>
    <w:p>
      <w:pPr>
        <w:pStyle w:val="Heading2"/>
      </w:pPr>
      <w:r>
        <w:t>Pipeline OCI preparado</w:t>
      </w:r>
    </w:p>
    <w:p>
      <w:pPr>
        <w:pStyle w:val="ListNumber"/>
        <w:numPr>
          <w:ilvl w:val="0"/>
          <w:numId w:val="12"/>
        </w:numPr>
      </w:pPr>
      <w:r>
        <w:t>GitHub usa un usuario técnico limitado y una API signing key guardada como secret del environment development.</w:t>
      </w:r>
    </w:p>
    <w:p>
      <w:pPr>
        <w:pStyle w:val="ListNumber"/>
        <w:numPr>
          <w:ilvl w:val="0"/>
          <w:numId w:val="12"/>
        </w:numPr>
      </w:pPr>
      <w:r>
        <w:t>Buildx construye API y portal para linux/arm64, genera archivos OCI y los sube a Object Storage bajo una ruta con el SHA del commit.</w:t>
      </w:r>
    </w:p>
    <w:p>
      <w:pPr>
        <w:pStyle w:val="ListNumber"/>
        <w:numPr>
          <w:ilvl w:val="0"/>
          <w:numId w:val="12"/>
        </w:numPr>
      </w:pPr>
      <w:r>
        <w:t>Actions solicita por OCI Compute Instance Run Command la ejecución de /opt/ai-prototype/deploy.sh &lt;SHA&gt;.</w:t>
      </w:r>
    </w:p>
    <w:p>
      <w:pPr>
        <w:pStyle w:val="ListNumber"/>
        <w:numPr>
          <w:ilvl w:val="0"/>
          <w:numId w:val="12"/>
        </w:numPr>
      </w:pPr>
      <w:r>
        <w:t>La VM descarga los archivos desde el bucket mediante Instance Principal, los carga en Podman y reemplaza los contenedores.</w:t>
      </w:r>
    </w:p>
    <w:p>
      <w:pPr>
        <w:pStyle w:val="ListNumber"/>
        <w:numPr>
          <w:ilvl w:val="0"/>
          <w:numId w:val="12"/>
        </w:numPr>
      </w:pPr>
      <w:r>
        <w:t>Nginx publica el portal en el puerto 80 y reenvía /api al contenedor de API dentro de la red privada de Podman.</w:t>
      </w:r>
    </w:p>
    <w:p>
      <w:pPr>
        <w:pStyle w:val="ListNumber"/>
        <w:numPr>
          <w:ilvl w:val="0"/>
          <w:numId w:val="12"/>
        </w:numPr>
      </w:pPr>
      <w:r>
        <w:t>La VM elimina imágenes locales antiguas y Object Storage depura archivos después de 14 días para controlar la cuota gratuita.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rPr>
          <w:tblHeader w:val="true"/>
          <w:cantSplit/>
        </w:trPr>
        <w:tc>
          <w:tcPr>
            <w:tcW w:type="dxa" w:w="275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Variable o secret GitHub</w:t>
            </w:r>
          </w:p>
        </w:tc>
        <w:tc>
          <w:tcPr>
            <w:tcW w:type="dxa" w:w="32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Origen</w:t>
            </w:r>
          </w:p>
        </w:tc>
        <w:tc>
          <w:tcPr>
            <w:tcW w:type="dxa" w:w="341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Uso</w:t>
            </w:r>
          </w:p>
        </w:tc>
      </w:tr>
      <w:tr>
        <w:trPr>
          <w:cantSplit/>
        </w:trPr>
        <w:tc>
          <w:tcPr>
            <w:tcW w:type="dxa" w:w="275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r>
              <w:t>OCI_REGION</w:t>
            </w:r>
          </w:p>
        </w:tc>
        <w:tc>
          <w:tcPr>
            <w:tcW w:type="dxa" w:w="32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r>
              <w:t>Región home</w:t>
            </w:r>
          </w:p>
        </w:tc>
        <w:tc>
          <w:tcPr>
            <w:tcW w:type="dxa" w:w="341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r>
              <w:t>Región de Object Storage y Run Command.</w:t>
            </w:r>
          </w:p>
        </w:tc>
      </w:tr>
      <w:tr>
        <w:trPr>
          <w:cantSplit/>
        </w:trPr>
        <w:tc>
          <w:tcPr>
            <w:tcW w:type="dxa" w:w="275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r>
              <w:t>OCI_COMPARTMENT_OCID</w:t>
            </w:r>
          </w:p>
        </w:tc>
        <w:tc>
          <w:tcPr>
            <w:tcW w:type="dxa" w:w="32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r>
              <w:t>Cuenta nueva</w:t>
            </w:r>
          </w:p>
        </w:tc>
        <w:tc>
          <w:tcPr>
            <w:tcW w:type="dxa" w:w="341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r>
              <w:t>Ámbito de Run Command.</w:t>
            </w:r>
          </w:p>
        </w:tc>
      </w:tr>
      <w:tr>
        <w:trPr>
          <w:cantSplit/>
        </w:trPr>
        <w:tc>
          <w:tcPr>
            <w:tcW w:type="dxa" w:w="275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r>
              <w:t>OCI_INSTANCE_OCID</w:t>
            </w:r>
          </w:p>
        </w:tc>
        <w:tc>
          <w:tcPr>
            <w:tcW w:type="dxa" w:w="32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r>
              <w:t>Output instance_id</w:t>
            </w:r>
          </w:p>
        </w:tc>
        <w:tc>
          <w:tcPr>
            <w:tcW w:type="dxa" w:w="341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r>
              <w:t>Destino del comando remoto.</w:t>
            </w:r>
          </w:p>
        </w:tc>
      </w:tr>
      <w:tr>
        <w:trPr>
          <w:cantSplit/>
        </w:trPr>
        <w:tc>
          <w:tcPr>
            <w:tcW w:type="dxa" w:w="275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r>
              <w:t>OCI_ARTIFACT_BUCKET</w:t>
            </w:r>
          </w:p>
        </w:tc>
        <w:tc>
          <w:tcPr>
            <w:tcW w:type="dxa" w:w="32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r>
              <w:t>Output artifact_bucket</w:t>
            </w:r>
          </w:p>
        </w:tc>
        <w:tc>
          <w:tcPr>
            <w:tcW w:type="dxa" w:w="341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r>
              <w:t>Archivos OCI de API y portal.</w:t>
            </w:r>
          </w:p>
        </w:tc>
      </w:tr>
      <w:tr>
        <w:trPr>
          <w:cantSplit/>
        </w:trPr>
        <w:tc>
          <w:tcPr>
            <w:tcW w:type="dxa" w:w="275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r>
              <w:t>API key: user, tenancy, fingerprint y private key</w:t>
            </w:r>
          </w:p>
        </w:tc>
        <w:tc>
          <w:tcPr>
            <w:tcW w:type="dxa" w:w="32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r>
              <w:t>Usuario técnico</w:t>
            </w:r>
          </w:p>
        </w:tc>
        <w:tc>
          <w:tcPr>
            <w:tcW w:type="dxa" w:w="341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r>
              <w:t>Firma de llamadas OCI desde Actions.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spacing w:after="40"/>
      </w:pPr>
      <w:r>
        <w:rPr>
          <w:b/>
          <w:color w:val="5B6573"/>
          <w:sz w:val="17"/>
        </w:rPr>
        <w:t>SOLICITUD, AGENTES Y OPERACIÓN</w:t>
      </w:r>
    </w:p>
    <w:p>
      <w:pPr>
        <w:pStyle w:val="Heading1"/>
      </w:pPr>
      <w:r>
        <w:t>6. Funcionamiento en ejecución</w:t>
      </w:r>
    </w:p>
    <w:p>
      <w:pPr>
        <w:pStyle w:val="Heading2"/>
      </w:pPr>
      <w:r>
        <w:t>Flujo de una solicitud</w:t>
      </w:r>
    </w:p>
    <w:p>
      <w:pPr>
        <w:pStyle w:val="ListNumber"/>
        <w:numPr>
          <w:ilvl w:val="0"/>
          <w:numId w:val="13"/>
        </w:numPr>
      </w:pPr>
      <w:r>
        <w:t>El usuario abre la IP o dominio del ambiente y Nginx entrega el portal.</w:t>
      </w:r>
    </w:p>
    <w:p>
      <w:pPr>
        <w:pStyle w:val="ListNumber"/>
        <w:numPr>
          <w:ilvl w:val="0"/>
          <w:numId w:val="13"/>
        </w:numPr>
      </w:pPr>
      <w:r>
        <w:t>El portal solicita /api/solution; Nginx lo enruta a la API dentro de la red de contenedores Podman.</w:t>
      </w:r>
    </w:p>
    <w:p>
      <w:pPr>
        <w:pStyle w:val="ListNumber"/>
        <w:numPr>
          <w:ilvl w:val="0"/>
          <w:numId w:val="13"/>
        </w:numPr>
      </w:pPr>
      <w:r>
        <w:t>La API devuelve identidad, versión, branding y features del manifiesto validado.</w:t>
      </w:r>
    </w:p>
    <w:p>
      <w:pPr>
        <w:pStyle w:val="ListNumber"/>
        <w:numPr>
          <w:ilvl w:val="0"/>
          <w:numId w:val="13"/>
        </w:numPr>
      </w:pPr>
      <w:r>
        <w:t>Una acción del usuario envía una solicitud tipada a /api/agents/run.</w:t>
      </w:r>
    </w:p>
    <w:p>
      <w:pPr>
        <w:pStyle w:val="ListNumber"/>
        <w:numPr>
          <w:ilvl w:val="0"/>
          <w:numId w:val="13"/>
        </w:numPr>
      </w:pPr>
      <w:r>
        <w:t>El runtime crea un runId, invoca al proveedor y devuelve salida, proveedor y necesidad de aprobación.</w:t>
      </w:r>
    </w:p>
    <w:p>
      <w:pPr>
        <w:pStyle w:val="ListNumber"/>
        <w:numPr>
          <w:ilvl w:val="0"/>
          <w:numId w:val="13"/>
        </w:numPr>
      </w:pPr>
      <w:r>
        <w:t>La interfaz muestra el resultado. En la base actual, la respuesta es simulada y no ejecuta acciones externas.</w:t>
      </w:r>
    </w:p>
    <w:p>
      <w:pPr>
        <w:pStyle w:val="Heading2"/>
      </w:pPr>
      <w:r>
        <w:t>Cómo integrar agentes por API</w:t>
      </w:r>
    </w:p>
    <w:p>
      <w:r>
        <w:t>El proveedor real debe implementarse detrás de ModelProvider y vivir sólo en el servidor. Las herramientas se registran con nombre y una marca de efecto externo. Toda acción con efecto debe pasar por aprobación humana, autorización, idempotencia y auditoría. El frontend nunca recibe la clave del modelo.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24"/>
        <w:gridCol w:w="4824"/>
      </w:tblGrid>
      <w:tr>
        <w:trPr>
          <w:tblHeader w:val="true"/>
          <w:cantSplit/>
        </w:trPr>
        <w:tc>
          <w:tcPr>
            <w:tcW w:type="dxa" w:w="29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  <w:color w:val="1F4D78"/>
              </w:rPr>
              <w:t>Tipo de solución</w:t>
            </w:r>
          </w:p>
        </w:tc>
        <w:tc>
          <w:tcPr>
            <w:tcW w:type="dxa" w:w="646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  <w:color w:val="1F4D78"/>
              </w:rPr>
              <w:t>Capacidades a incorporar</w:t>
            </w:r>
          </w:p>
        </w:tc>
      </w:tr>
      <w:tr>
        <w:trPr>
          <w:cantSplit/>
        </w:trPr>
        <w:tc>
          <w:tcPr>
            <w:tcW w:type="dxa" w:w="29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r>
              <w:t>Procesamiento documental</w:t>
            </w:r>
          </w:p>
        </w:tc>
        <w:tc>
          <w:tcPr>
            <w:tcW w:type="dxa" w:w="64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r>
              <w:t>Carga segura, extracción, OCR, clasificación, búsqueda y revisión humana.</w:t>
            </w:r>
          </w:p>
        </w:tc>
      </w:tr>
      <w:tr>
        <w:trPr>
          <w:cantSplit/>
        </w:trPr>
        <w:tc>
          <w:tcPr>
            <w:tcW w:type="dxa" w:w="29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r>
              <w:t>Alertas por patrones</w:t>
            </w:r>
          </w:p>
        </w:tc>
        <w:tc>
          <w:tcPr>
            <w:tcW w:type="dxa" w:w="64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r>
              <w:t>Ingesta, reglas/modelo, scheduler o cola, deduplicación y canal de notificación.</w:t>
            </w:r>
          </w:p>
        </w:tc>
      </w:tr>
      <w:tr>
        <w:trPr>
          <w:cantSplit/>
        </w:trPr>
        <w:tc>
          <w:tcPr>
            <w:tcW w:type="dxa" w:w="29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r>
              <w:t>Agentes vía API</w:t>
            </w:r>
          </w:p>
        </w:tc>
        <w:tc>
          <w:tcPr>
            <w:tcW w:type="dxa" w:w="64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r>
              <w:t>Adaptador de proveedor, tools permitidas, aprobaciones, evals y trazabilidad.</w:t>
            </w:r>
          </w:p>
        </w:tc>
      </w:tr>
      <w:tr>
        <w:trPr>
          <w:cantSplit/>
        </w:trPr>
        <w:tc>
          <w:tcPr>
            <w:tcW w:type="dxa" w:w="29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r>
              <w:t>Búsqueda semántica</w:t>
            </w:r>
          </w:p>
        </w:tc>
        <w:tc>
          <w:tcPr>
            <w:tcW w:type="dxa" w:w="64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r>
              <w:t>Embeddings, índice vectorial, filtros y evaluación de recuperación.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spacing w:after="40"/>
      </w:pPr>
      <w:r>
        <w:rPr>
          <w:b/>
          <w:color w:val="5B6573"/>
          <w:sz w:val="17"/>
        </w:rPr>
        <w:t>CONTROLES MÍNIMOS</w:t>
      </w:r>
    </w:p>
    <w:p>
      <w:pPr>
        <w:pStyle w:val="Heading1"/>
      </w:pPr>
      <w:r>
        <w:t>7. Seguridad, datos y confiabilidad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rPr>
          <w:tblHeader w:val="true"/>
          <w:cantSplit/>
        </w:trPr>
        <w:tc>
          <w:tcPr>
            <w:tcW w:type="dxa" w:w="19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Área</w:t>
            </w:r>
          </w:p>
        </w:tc>
        <w:tc>
          <w:tcPr>
            <w:tcW w:type="dxa" w:w="40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Control actual o preparado</w:t>
            </w:r>
          </w:p>
        </w:tc>
        <w:tc>
          <w:tcPr>
            <w:tcW w:type="dxa" w:w="346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Siguiente incremento</w:t>
            </w:r>
          </w:p>
        </w:tc>
      </w:tr>
      <w:tr>
        <w:trPr>
          <w:cantSplit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r>
              <w:t>Acceso OCI</w:t>
            </w:r>
          </w:p>
        </w:tc>
        <w:tc>
          <w:tcPr>
            <w:tcW w:type="dxa" w:w="40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r>
              <w:t>Run Command; sin SSH; usuario técnico limitado para GitHub.</w:t>
            </w:r>
          </w:p>
        </w:tc>
        <w:tc>
          <w:tcPr>
            <w:tcW w:type="dxa" w:w="34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r>
              <w:t>Revisión y rotación periódica de credenciales.</w:t>
            </w:r>
          </w:p>
        </w:tc>
      </w:tr>
      <w:tr>
        <w:trPr>
          <w:cantSplit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r>
              <w:t>Secretos</w:t>
            </w:r>
          </w:p>
        </w:tc>
        <w:tc>
          <w:tcPr>
            <w:tcW w:type="dxa" w:w="40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r>
              <w:t>Sin token de registry; API key sólo en GitHub.</w:t>
            </w:r>
          </w:p>
        </w:tc>
        <w:tc>
          <w:tcPr>
            <w:tcW w:type="dxa" w:w="34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r>
              <w:t>Vault y rotación para secretos de cada solución.</w:t>
            </w:r>
          </w:p>
        </w:tc>
      </w:tr>
      <w:tr>
        <w:trPr>
          <w:cantSplit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r>
              <w:t>Datos</w:t>
            </w:r>
          </w:p>
        </w:tc>
        <w:tc>
          <w:tcPr>
            <w:tcW w:type="dxa" w:w="40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r>
              <w:t>Sólo synthetic-only; no logging de prompts por defecto.</w:t>
            </w:r>
          </w:p>
        </w:tc>
        <w:tc>
          <w:tcPr>
            <w:tcW w:type="dxa" w:w="34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r>
              <w:t>Clasificación, DLP y eliminación verificable.</w:t>
            </w:r>
          </w:p>
        </w:tc>
      </w:tr>
      <w:tr>
        <w:trPr>
          <w:cantSplit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r>
              <w:t>Red</w:t>
            </w:r>
          </w:p>
        </w:tc>
        <w:tc>
          <w:tcPr>
            <w:tcW w:type="dxa" w:w="40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r>
              <w:t>80/443 públicos; IMDS legado deshabilitado; 22 cerrado.</w:t>
            </w:r>
          </w:p>
        </w:tc>
        <w:tc>
          <w:tcPr>
            <w:tcW w:type="dxa" w:w="34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r>
              <w:t>Dominio, TLS, restricción de origen y WAF si aplica.</w:t>
            </w:r>
          </w:p>
        </w:tc>
      </w:tr>
      <w:tr>
        <w:trPr>
          <w:cantSplit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r>
              <w:t>Contenedores</w:t>
            </w:r>
          </w:p>
        </w:tc>
        <w:tc>
          <w:tcPr>
            <w:tcW w:type="dxa" w:w="40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r>
              <w:t>Podman y archivos OCI ARM64 privados por SHA.</w:t>
            </w:r>
          </w:p>
        </w:tc>
        <w:tc>
          <w:tcPr>
            <w:tcW w:type="dxa" w:w="34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r>
              <w:t>Firmas, SBOM, escaneo y política de vulnerabilidades.</w:t>
            </w:r>
          </w:p>
        </w:tc>
      </w:tr>
      <w:tr>
        <w:trPr>
          <w:cantSplit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r>
              <w:t>Disponibilidad</w:t>
            </w:r>
          </w:p>
        </w:tc>
        <w:tc>
          <w:tcPr>
            <w:tcW w:type="dxa" w:w="40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r>
              <w:t>Una VM, reinicio automático de contenedores.</w:t>
            </w:r>
          </w:p>
        </w:tc>
        <w:tc>
          <w:tcPr>
            <w:tcW w:type="dxa" w:w="34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r>
              <w:t>Health checks y arquitectura redundante si deja de ser prototipo.</w:t>
            </w:r>
          </w:p>
        </w:tc>
      </w:tr>
      <w:tr>
        <w:trPr>
          <w:cantSplit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r>
              <w:t>Observabilidad</w:t>
            </w:r>
          </w:p>
        </w:tc>
        <w:tc>
          <w:tcPr>
            <w:tcW w:type="dxa" w:w="40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r>
              <w:t>Logs de aplicación y estado de Run Command.</w:t>
            </w:r>
          </w:p>
        </w:tc>
        <w:tc>
          <w:tcPr>
            <w:tcW w:type="dxa" w:w="34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r>
              <w:t>Logging, métricas de modelo y alertas de costo.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648"/>
      </w:tblGrid>
      <w:tr>
        <w:trPr>
          <w:cantSplit/>
        </w:trPr>
        <w:tc>
          <w:tcPr>
            <w:tcW w:type="dxa" w:w="9360"/>
            <w:tcMar>
              <w:top w:w="130" w:type="dxa"/>
              <w:start w:w="180" w:type="dxa"/>
              <w:bottom w:w="130" w:type="dxa"/>
              <w:end w:w="180" w:type="dxa"/>
            </w:tcMar>
            <w:shd w:fill="FBEAEA"/>
          </w:tcPr>
          <w:p>
            <w:r>
              <w:t>Límite explícito</w:t>
              <w:br/>
              <w:t>Esta arquitectura sirve para prototipos y demostraciones, no para producción ni datos regulados. Es una sola VM ARM sin alta disponibilidad; depende de capacidad Always Free y no está diseñada para modelos locales pesados ni alta concurrencia.</w:t>
            </w:r>
          </w:p>
        </w:tc>
      </w:tr>
    </w:tbl>
    <w:p>
      <w:r>
        <w:br w:type="page"/>
      </w:r>
    </w:p>
    <w:p>
      <w:pPr>
        <w:spacing w:after="40"/>
      </w:pPr>
      <w:r>
        <w:rPr>
          <w:b/>
          <w:color w:val="5B6573"/>
          <w:sz w:val="17"/>
        </w:rPr>
        <w:t>RUNBOOK DE ALTO NIVEL</w:t>
      </w:r>
    </w:p>
    <w:p>
      <w:pPr>
        <w:pStyle w:val="Heading1"/>
      </w:pPr>
      <w:r>
        <w:t>8. Puesta en marcha y evolución</w:t>
      </w:r>
    </w:p>
    <w:p>
      <w:pPr>
        <w:pStyle w:val="Heading2"/>
      </w:pPr>
      <w:r>
        <w:t>Condiciones previas para crear la instancia OCI</w:t>
      </w:r>
    </w:p>
    <w:p>
      <w:pPr>
        <w:pStyle w:val="ListBullet"/>
      </w:pPr>
      <w:r>
        <w:t>Tenancy OCI nueva, separada y expresamente autorizada para prototipos.</w:t>
      </w:r>
    </w:p>
    <w:p>
      <w:pPr>
        <w:pStyle w:val="ListBullet"/>
      </w:pPr>
      <w:r>
        <w:t>Región home, compartimento dedicado, presupuesto, alertas y propietario financiero definidos.</w:t>
      </w:r>
    </w:p>
    <w:p>
      <w:pPr>
        <w:pStyle w:val="ListBullet"/>
      </w:pPr>
      <w:r>
        <w:t>Usuario técnico de despliegue con permisos mínimos y API signing key; nunca reutilizar una cuenta personal.</w:t>
      </w:r>
    </w:p>
    <w:p>
      <w:pPr>
        <w:pStyle w:val="ListBullet"/>
      </w:pPr>
      <w:r>
        <w:t>Políticas IAM limitadas al bucket de artefactos y a Run Command dentro del compartimento dedicado.</w:t>
      </w:r>
    </w:p>
    <w:p>
      <w:pPr>
        <w:pStyle w:val="ListBullet"/>
      </w:pPr>
      <w:r>
        <w:t>Revisión de terraform plan por infraestructura y por una segunda persona, con fecha de expiración acordada.</w:t>
      </w:r>
    </w:p>
    <w:p>
      <w:pPr>
        <w:pStyle w:val="Heading2"/>
      </w:pPr>
      <w:r>
        <w:t>Orden de ejecución cuando exista autorización</w:t>
      </w:r>
    </w:p>
    <w:p>
      <w:pPr>
        <w:pStyle w:val="ListNumber"/>
        <w:numPr>
          <w:ilvl w:val="0"/>
          <w:numId w:val="14"/>
        </w:numPr>
      </w:pPr>
      <w:r>
        <w:t>Configurar OCI CLI con el perfil AI_PROTOTYPES y verificar tenancy OCID, región home y compartimento.</w:t>
      </w:r>
    </w:p>
    <w:p>
      <w:pPr>
        <w:pStyle w:val="ListNumber"/>
        <w:numPr>
          <w:ilvl w:val="0"/>
          <w:numId w:val="14"/>
        </w:numPr>
      </w:pPr>
      <w:r>
        <w:t>Ejecutar init/plan/apply de infra/bootstrap para crear el bucket privado y versionado del estado.</w:t>
      </w:r>
    </w:p>
    <w:p>
      <w:pPr>
        <w:pStyle w:val="ListNumber"/>
        <w:numPr>
          <w:ilvl w:val="0"/>
          <w:numId w:val="14"/>
        </w:numPr>
      </w:pPr>
      <w:r>
        <w:t>Configurar backend.hcl y terraform.tfvars locales; ejecutar init, validate y plan de infra/environments/dev.</w:t>
      </w:r>
    </w:p>
    <w:p>
      <w:pPr>
        <w:pStyle w:val="ListNumber"/>
        <w:numPr>
          <w:ilvl w:val="0"/>
          <w:numId w:val="14"/>
        </w:numPr>
      </w:pPr>
      <w:r>
        <w:t>Confirmar A1 Flex, 1 OCPU, 6 GiB, 50 GiB, puertos 80/443 y ausencia de SSH; aplicar sólo con aprobación.</w:t>
      </w:r>
    </w:p>
    <w:p>
      <w:pPr>
        <w:pStyle w:val="ListNumber"/>
        <w:numPr>
          <w:ilvl w:val="0"/>
          <w:numId w:val="14"/>
        </w:numPr>
      </w:pPr>
      <w:r>
        <w:t>Esperar la propagación del grupo dinámico y registrar outputs como variables del environment development en GitHub.</w:t>
      </w:r>
    </w:p>
    <w:p>
      <w:pPr>
        <w:pStyle w:val="ListNumber"/>
        <w:numPr>
          <w:ilvl w:val="0"/>
          <w:numId w:val="14"/>
        </w:numPr>
      </w:pPr>
      <w:r>
        <w:t>Disparar el workflow OCI y verificar health, portal, logs de Run Command y rollback por SHA.</w:t>
      </w:r>
    </w:p>
    <w:p>
      <w:pPr>
        <w:pStyle w:val="Heading2"/>
      </w:pPr>
      <w:r>
        <w:t>Evolución recomendada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24"/>
        <w:gridCol w:w="4824"/>
      </w:tblGrid>
      <w:tr>
        <w:trPr>
          <w:tblHeader w:val="true"/>
          <w:cantSplit/>
        </w:trPr>
        <w:tc>
          <w:tcPr>
            <w:tcW w:type="dxa" w:w="235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Etapa</w:t>
            </w:r>
          </w:p>
        </w:tc>
        <w:tc>
          <w:tcPr>
            <w:tcW w:type="dxa" w:w="701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Mejora</w:t>
            </w:r>
          </w:p>
        </w:tc>
      </w:tr>
      <w:tr>
        <w:trPr>
          <w:cantSplit/>
        </w:trPr>
        <w:tc>
          <w:tcPr>
            <w:tcW w:type="dxa" w:w="235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r>
              <w:t>Primera demo</w:t>
            </w:r>
          </w:p>
        </w:tc>
        <w:tc>
          <w:tcPr>
            <w:tcW w:type="dxa" w:w="701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r>
              <w:t>HTTP temporal, datos sintéticos, proveedor mock o API controlada.</w:t>
            </w:r>
          </w:p>
        </w:tc>
      </w:tr>
      <w:tr>
        <w:trPr>
          <w:cantSplit/>
        </w:trPr>
        <w:tc>
          <w:tcPr>
            <w:tcW w:type="dxa" w:w="235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r>
              <w:t>Demo recurrente</w:t>
            </w:r>
          </w:p>
        </w:tc>
        <w:tc>
          <w:tcPr>
            <w:tcW w:type="dxa" w:w="701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r>
              <w:t>Dominio + HTTPS, OCI Logging, alertas y rotación de credenciales.</w:t>
            </w:r>
          </w:p>
        </w:tc>
      </w:tr>
      <w:tr>
        <w:trPr>
          <w:cantSplit/>
        </w:trPr>
        <w:tc>
          <w:tcPr>
            <w:tcW w:type="dxa" w:w="235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r>
              <w:t>Más concurrencia</w:t>
            </w:r>
          </w:p>
        </w:tc>
        <w:tc>
          <w:tcPr>
            <w:tcW w:type="dxa" w:w="701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r>
              <w:t>Asignar el margen A1 disponible o pasar a recursos pagados con aprobación.</w:t>
            </w:r>
          </w:p>
        </w:tc>
      </w:tr>
      <w:tr>
        <w:trPr>
          <w:cantSplit/>
        </w:trPr>
        <w:tc>
          <w:tcPr>
            <w:tcW w:type="dxa" w:w="235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r>
              <w:t>Datos reales</w:t>
            </w:r>
          </w:p>
        </w:tc>
        <w:tc>
          <w:tcPr>
            <w:tcW w:type="dxa" w:w="701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r>
              <w:t>Nueva revisión de arquitectura, legal, seguridad, privacidad y retención.</w:t>
            </w:r>
          </w:p>
        </w:tc>
      </w:tr>
      <w:tr>
        <w:trPr>
          <w:cantSplit/>
        </w:trPr>
        <w:tc>
          <w:tcPr>
            <w:tcW w:type="dxa" w:w="235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r>
              <w:t>Producción</w:t>
            </w:r>
          </w:p>
        </w:tc>
        <w:tc>
          <w:tcPr>
            <w:tcW w:type="dxa" w:w="701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r>
              <w:t>Alta disponibilidad, gestión madura de secretos, SLO, DR y pruebas de carga.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648"/>
      </w:tblGrid>
      <w:tr>
        <w:trPr>
          <w:cantSplit/>
        </w:trPr>
        <w:tc>
          <w:tcPr>
            <w:tcW w:type="dxa" w:w="9360"/>
            <w:tcMar>
              <w:top w:w="130" w:type="dxa"/>
              <w:start w:w="180" w:type="dxa"/>
              <w:bottom w:w="130" w:type="dxa"/>
              <w:end w:w="180" w:type="dxa"/>
            </w:tcMar>
            <w:shd w:fill="EAF4EA"/>
          </w:tcPr>
          <w:p>
            <w:r>
              <w:t>Próximo hito</w:t>
              <w:br/>
              <w:t>Terminar la tenancy OCI nueva y recopilar región home, tenancy OCID y compartment OCID. Después se configurará el perfil local y se revisará el plan de bootstrap; hasta entonces no ejecutar Terraform contra ninguna cuenta.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1181" w:right="1296" w:bottom="1123" w:left="1296" w:header="518" w:footer="518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5B6573"/>
        <w:sz w:val="16"/>
      </w:rPr>
      <w:t xml:space="preserve">Página </w:t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  <w:pBdr>
        <w:bottom w:val="single" w:sz="6" w:space="3" w:color="2E74B5"/>
      </w:pBdr>
    </w:pPr>
    <w:r>
      <w:rPr>
        <w:rFonts w:ascii="Calibri" w:hAnsi="Calibri"/>
        <w:b/>
        <w:color w:val="2E74B5"/>
        <w:sz w:val="16"/>
      </w:rPr>
      <w:t>INFRAESTRUCTURA DE LA PLATAFORMA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7"/>
    <w:lvlOverride w:ilvl="0">
      <w:startOverride w:val="1"/>
    </w:lvlOverride>
  </w:num>
  <w:num w:numId="11">
    <w:abstractNumId w:val="7"/>
    <w:lvlOverride w:ilvl="0">
      <w:startOverride w:val="1"/>
    </w:lvlOverride>
  </w:num>
  <w:num w:numId="12">
    <w:abstractNumId w:val="7"/>
    <w:lvlOverride w:ilvl="0">
      <w:startOverride w:val="1"/>
    </w:lvlOverride>
  </w:num>
  <w:num w:numId="13">
    <w:abstractNumId w:val="7"/>
    <w:lvlOverride w:ilvl="0">
      <w:startOverride w:val="1"/>
    </w:lvlOverride>
  </w:num>
  <w:num w:numId="14">
    <w:abstractNumId w:val="7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69" w:lineRule="auto"/>
    </w:pPr>
    <w:rPr>
      <w:rFonts w:ascii="Calibri" w:hAnsi="Calibri"/>
      <w:color w:val="17324D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240" w:line="240" w:lineRule="auto" w:before="0"/>
      <w:contextualSpacing/>
    </w:pPr>
    <w:rPr>
      <w:rFonts w:asciiTheme="majorHAnsi" w:eastAsiaTheme="majorEastAsia" w:hAnsiTheme="majorHAnsi" w:cstheme="majorBidi" w:ascii="Calibri" w:hAnsi="Calibri"/>
      <w:b/>
      <w:color w:val="17324D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numPr>
        <w:ilvl w:val="1"/>
      </w:numPr>
      <w:spacing w:before="0" w:after="240"/>
    </w:pPr>
    <w:rPr>
      <w:rFonts w:asciiTheme="majorHAnsi" w:eastAsiaTheme="majorEastAsia" w:hAnsiTheme="majorHAnsi" w:cstheme="majorBidi" w:ascii="Calibri" w:hAnsi="Calibri"/>
      <w:b w:val="0"/>
      <w:i/>
      <w:iCs/>
      <w:color w:val="5B6573"/>
      <w:spacing w:val="15"/>
      <w:sz w:val="26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60" w:line="264" w:lineRule="auto"/>
      <w:ind w:left="547" w:hanging="259"/>
      <w:contextualSpacing/>
    </w:pPr>
    <w:rPr>
      <w:rFonts w:ascii="Calibri" w:hAnsi="Calibri"/>
      <w:sz w:val="20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60" w:line="264" w:lineRule="auto"/>
      <w:ind w:left="547" w:hanging="259"/>
      <w:contextualSpacing/>
    </w:pPr>
    <w:rPr>
      <w:rFonts w:ascii="Calibri" w:hAnsi="Calibri"/>
      <w:sz w:val="20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Infraestructura y funcionamiento de la plataforma</dc:title>
  <dc:subject>Diseño OCI Always Free para prototipos de IA</dc:subject>
  <dc:creator>AI Prototype Platform</dc:creator>
  <cp:keywords>IA, prototipos, GitHub, Podman, Terraform, OCI</cp:keywords>
  <dc:description>Actualizado de AWS a OCI; infraestructura no aplicada.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