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表3 年龄分层回归分析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02"/>
        <w:gridCol w:w="839"/>
        <w:gridCol w:w="1389"/>
        <w:gridCol w:w="1181"/>
      </w:tblGrid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drink_group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从不饮酒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少量饮酒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0.63, 1.56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中等饮酒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频繁饮酒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0.21, 1.67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in years at screening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非西裔白人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墨西哥裔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0.40, 1.95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其他西班牙裔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0.16, 0.97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非西裔黑人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0.48, 1.30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其他人种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0.12, 0.78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本科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初中及以下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0.15, 1.53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高中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0.56, 2.21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大专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0.41, 1.22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研究生及以上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0.68, 1.94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Ratio of family income to poverty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0.92, 1.22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Body Mass Index (kg/m**2)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smoke_status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从不吸烟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曾吸烟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0.50, 1.22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&lt;50岁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≥50岁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0.95, 7.15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2026-07-07T18:18:41Z</dcterms:modified>
  <cp:category/>
</cp:coreProperties>
</file>