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表2 各因素与乳腺癌患病的单因素logistic回归分析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1"/>
        <w:gridCol w:w="961"/>
        <w:gridCol w:w="839"/>
        <w:gridCol w:w="1389"/>
        <w:gridCol w:w="1181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特征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年龄（岁）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3,667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1.06, 1.09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饮酒频次分组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从不饮酒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少量饮酒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0.36, 0.85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中等饮酒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0.22, 0.81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频繁饮酒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0.25, 1.76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体重指数（kg/m²）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2026-06-21T09:57:25Z</dcterms:modified>
  <cp:category/>
</cp:coreProperties>
</file>