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表1 研究对象基线特征表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1793"/>
        <w:gridCol w:w="1793"/>
        <w:gridCol w:w="1510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特征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3,667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未患乳腺癌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3,560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年龄（岁）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 ± 17.9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 ± 17.8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 ± 10.8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ALQ121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每天饮酒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几乎每天饮酒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每周3-4次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每周2次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每周1次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每月2-3次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每月1次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过去一年7-11次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过去一年3-6次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过去一年1-2次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2,061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体重指数（kg/m²）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 ± 8.6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 ± 8.6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 ± 8.0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2026-06-21T09:54:11Z</dcterms:modified>
  <cp:category/>
</cp:coreProperties>
</file>