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表3 按年龄分层的logistic回归分析结果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2"/>
        <w:gridCol w:w="839"/>
        <w:gridCol w:w="1389"/>
        <w:gridCol w:w="1181"/>
        <w:gridCol w:w="839"/>
        <w:gridCol w:w="1389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&lt;50岁女性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≥50岁女性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饮酒频次分组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少量饮酒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0.07, 2.93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中等饮酒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频繁饮酒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非西裔白人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墨西哥裔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0.03, 3.65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其他西班牙裔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0.13, 0.79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非西裔黑人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其他种族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0.10, 0.65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本科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初中及以下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高中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0.66, 2.63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大专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0.34, 84.9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研究生及以上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0.83, 120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 of family income to poverty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0.77, 2.20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Mass Index (kg/m**2)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smoke_status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曾吸烟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0.30, 7.75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0.44, 1.12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2026-06-26T20:10:04Z</dcterms:modified>
  <cp:category/>
</cp:coreProperties>
</file>