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表1 研究对象基线特征表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1903"/>
        <w:gridCol w:w="1903"/>
        <w:gridCol w:w="1903"/>
        <w:gridCol w:w="1181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3,072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未患乳腺癌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2,963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患乳腺癌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年龄(岁)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50.0(34.5,63.0)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49.0(34.0,62.0)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68.0(60.0,75.0)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种族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非西裔白人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1,121(36.5%)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1,060(35.8%)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61(56.0%)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墨西哥裔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其他西班牙裔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319(10.8%)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非西裔黑人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872(28.4%)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845(28.5%)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27(24.8%)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其他人种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多种族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教育程度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本科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1,090(35.5%)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1,052(35.5%)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初中及以下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高中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309(10.1%)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大专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681(23.0%)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研究生及以上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791(25.7%)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761(25.7%)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收入贫困比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2.2(1.1,4.1)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2.1(1.1,4.1)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2.5(1.5,5.0)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29.3(24.5,35.2)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29.3(24.5,35.3)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28.5(25.2,32.6)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吸烟状态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2,079(67.7%)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2,004(67.6%)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曾吸烟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993(32.3%)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959(32.4%)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34(31.2%)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饮酒频次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889(30.0%)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45(41.3%)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少量饮酒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1,529(49.8%)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1,483(50.1%)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46(42.2%)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中等饮酒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493(16.0%)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频繁饮酒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116(3.8%)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111(3.7%)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5(4.6%)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Median(Q1,Q3); n(%)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Pearson's Chi-squared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2026-07-07T18:18:27Z</dcterms:modified>
  <cp:category/>
</cp:coreProperties>
</file>