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单因素logistic回归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3602"/>
        <w:gridCol w:w="839"/>
        <w:gridCol w:w="1389"/>
        <w:gridCol w:w="1181"/>
        <w:gridCol w:w="839"/>
        <w:gridCol w:w="1389"/>
        <w:gridCol w:w="1181"/>
      </w:tblGrid>
      <w:tr>
        <w:trPr>
          <w:trHeight w:val="638" w:hRule="auto"/>
          <w:tblHeader/>
        </w:trPr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gridSpan w:val="3"/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模型1 未调整</w:t>
            </w:r>
          </w:p>
        </w:tc>
        <w:tc>
          <w:tcPr>
            <w:gridSpan w:val="3"/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模型2 调整全部混杂</w:t>
            </w:r>
          </w:p>
        </w:tc>
      </w:tr>
      <w:tr>
        <w:trPr>
          <w:trHeight w:val="638" w:hRule="auto"/>
          <w:tblHeader/>
        </w:trPr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Characteristic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OR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95% CI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p-value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OR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95% CI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p-value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饮酒频次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从不饮酒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少量饮酒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0.40, 0.93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0.63, 1.57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&gt;0.9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中等饮酒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0.27, 0.97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0.40, 1.58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频繁饮酒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0.30, 2.09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0.22, 1.69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Age in years at screening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1.06, 1.09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race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非西裔白人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墨西哥裔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0.43, 2.10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&gt;0.9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其他西班牙裔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0.17, 1.05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0.091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非西裔黑人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0.51, 1.37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其他人种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0.13, 0.83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0.027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education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本科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初中及以下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0.15, 1.49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高中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0.53, 2.13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大专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0.41, 1.21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研究生及以上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0.67, 1.93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Ratio of family income to poverty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0.93, 1.23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Body Mass Index (kg/m**2)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0.96, 1.02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smoke_status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从不吸烟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23" w:hRule="auto"/>
        </w:trPr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曾吸烟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0.80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0.51, 1.24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</w:t>
            </w:r>
          </w:p>
        </w:tc>
      </w:tr>
      <w:tr>
        <w:trPr>
          <w:trHeight w:val="360" w:hRule="auto"/>
        </w:trPr>
        <w:tc>
          <w:tcPr>
            <w:gridSpan w:val="7"/>
            <w:tcBorders>
              <w:bottom w:val="none" w:sz="0" w:space="0" w:color="FFFFFF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Abbreviations: CI = Confidence Interval, OR = Odds Ratio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2026-07-07T18:18:35Z</dcterms:modified>
  <cp:category/>
</cp:coreProperties>
</file>