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60C45"/>
    <w:p w14:paraId="0D629377">
      <w:pPr>
        <w:pStyle w:val="19"/>
        <w:keepNext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60" w:after="60" w:line="240" w:lineRule="auto"/>
        <w:ind w:left="60" w:right="60" w:firstLine="0" w:firstLineChars="0"/>
        <w:jc w:val="center"/>
      </w:pPr>
      <w:r>
        <w:t>**表2 GDM组与非GDM组研究对象基线特征对比**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8"/>
        <w:gridCol w:w="2049"/>
        <w:gridCol w:w="1206"/>
        <w:gridCol w:w="2221"/>
        <w:gridCol w:w="2025"/>
        <w:gridCol w:w="1090"/>
      </w:tblGrid>
      <w:tr w14:paraId="6AAEE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4FE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变量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28D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检验方法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0D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N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427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无GDM病史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BBB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有GDM病史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F9D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P值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</w:tr>
      <w:tr w14:paraId="0CBDF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E762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冠心病发病情况, n (%)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C184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(%)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FF80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E48E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9278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0451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0.051</w:t>
            </w:r>
          </w:p>
        </w:tc>
      </w:tr>
      <w:tr w14:paraId="7BBC4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48D9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未发生冠心病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0D44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8048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BA4A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250,090.0 (92.1%)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8E2F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209.0 (95.9%)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5A3A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A69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6D7A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发生冠心病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AAC2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7764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399F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21,548.0 (7.9%)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CA7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9.0 (4.1%)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8EDE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06C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1DBF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年龄(岁), Mean ± SD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E76A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Mean ± SD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18FB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87A5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56.4 ± 8.0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4743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43.9 ± 3.5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5E23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107B6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3313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身体质量指数(kg/m²), Median (Q1, Q3)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33B7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Median (Q1, Q3)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0ED5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7327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26.1 (23.5, 29.7)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BB76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27.9 (24.6, 32.8)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BFE2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5AD5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2855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年龄分组, 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0B73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E252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C2E0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F7B8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8BFA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7FA97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0F8E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18-29岁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0121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A766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A98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293A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6943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1B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5D29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30-39岁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4C51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34E9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1238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2,816.0 (1.0%)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0E06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21.0 (9.6%)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F98D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3343D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549E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40-49岁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AA2E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4F54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969D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69,208.0 (25.5%)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7EEE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186.0 (85.3%)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70F0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D8D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54D6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50-59岁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CDBB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A6B0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BA81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98,983.0 (36.4%)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FBF6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10.0 (4.6%)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9D03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FA0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E8E4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60-69岁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E4C2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65A5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27FD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100,630.0 (37.0%)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03E1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 (0.5%)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1281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B13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B089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70-80岁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EAA4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6A54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CECD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322F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A751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42F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80A6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BMI分组, 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EFEC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EAAE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6DC6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98CE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FB47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1DF89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51C5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偏瘦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816A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3624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92AA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2,079.0 (0.8%)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D60E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D44C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A46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2494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正常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9B56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AF77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E445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79,727.0 (29.4%)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D593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44.0 (20.2%)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44C2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AC4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91BF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超重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D453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D232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F4EB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93,758.0 (34.5%)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1BEF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68.0 (31.2%)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05E2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716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F8D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肥胖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B0AF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665A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0B0F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96,074.0 (35.4%)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EF65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106.0 (48.6%)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A453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7BE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0D0C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吸烟状态, 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B4E7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944C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7268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9D8F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01A8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0.204</w:t>
            </w:r>
          </w:p>
        </w:tc>
      </w:tr>
      <w:tr w14:paraId="26264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4F8C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不愿作答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55AF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5DD5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D5A1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1,042.0 (0.4%)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7AE0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49C1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5AA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7B3D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从不吸烟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6FB5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296C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FE76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161,407.0 (59.4%)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0B86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144.0 (66.1%)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59AB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BC6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07C9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既往吸烟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5D64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BBBD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A71F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85,030.0 (31.3%)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15C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57.0 (26.1%)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8734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75D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0D54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目前吸烟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15D8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4E5A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66EA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24,159.0 (8.9%)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ECC6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17.0 (7.8%)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06D2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E9D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2621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教育程度, 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3BA1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7B7E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661B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2655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CF58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3D1D5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73D9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本科/大学学历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AC07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623A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9830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86,367.0 (31.8%)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DFF1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85.0 (39.0%)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77F2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542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63B1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A水准/同等学力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0921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3672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3576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31,846.0 (11.7%)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B186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34.0 (15.6%)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623C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4BB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A4A8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GCSE/同等学力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E8E6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6107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986D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62,818.0 (23.1%)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1151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42.0 (19.3%)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0398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CB1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54D2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CSE/同等学力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44C5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E469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972B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14,528.0 (5.3%)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E3F3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13.0 (6.0%)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2624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0A7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5322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NVQ/HND/同等学力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B003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9B39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DB47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12,092.0 (4.5%)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B27E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14.0 (6.4%)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5901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BE9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A0B7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其他专业资质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1F6C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6D74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A89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15,561.0 (5.7%)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8897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10.0 (4.6%)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1DDE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C58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0A1F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以上学历均无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1EC4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084F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122F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45,626.0 (16.8%)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9434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18.0 (8.3%)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FB27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977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5834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不愿作答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14FE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CD7C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650C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2,800.0 (1.0%)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79F6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2.0 (0.9%)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C174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89A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C8F8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饮酒状态, 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8229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(%)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2216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271,856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AF4F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6E9C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43E1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009A2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C7A4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不愿作答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0CB7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5109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7A4E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358.0 (0.1%)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FF18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F443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287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E5B1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从不饮酒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EC6E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E41F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4B06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15,759.0 (5.8%)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A923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33.0 (15.1%)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7082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FAB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296B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既往饮酒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5720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6461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B1A7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9,862.0 (3.6%)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4EDE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8.0 (3.7%)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BB80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F36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45BD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目前饮酒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1882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1553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DDF4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245,659.0 (90.4%)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9AEB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177.0 (81.2%)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577D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186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6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7B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Pearson's Chi-squared test; Welch Two Sample t-test; Wilcoxon rank sum test</w:t>
            </w:r>
          </w:p>
        </w:tc>
      </w:tr>
    </w:tbl>
    <w:p w14:paraId="084399D5"/>
    <w:sectPr>
      <w:type w:val="continuous"/>
      <w:pgSz w:w="16838" w:h="11906" w:orient="landscape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499A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378</Words>
  <Characters>1231</Characters>
  <Lines>0</Lines>
  <Paragraphs>0</Paragraphs>
  <TotalTime>4</TotalTime>
  <ScaleCrop>false</ScaleCrop>
  <LinksUpToDate>false</LinksUpToDate>
  <CharactersWithSpaces>1334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尹千殇(ノ=┻━┻</dc:creator>
  <cp:lastModifiedBy>尹千殇(ノ=┻━┻</cp:lastModifiedBy>
  <dcterms:modified xsi:type="dcterms:W3CDTF">2026-06-22T06:49:05Z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eyJoZGlkIjoiZDBjYmQ5NDRkZjdiNmNjYjI1YTM0YTY5NzkxMWZmYWIiLCJ1c2VySWQiOiI0MjM5MzUyMzUifQ==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3464F090527E483089966FB1D629AC1E_12</vt:lpwstr>
  </property>
</Properties>
</file>