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527BD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数据来源：TCGA-CESC n=307</w:t>
      </w:r>
    </w:p>
    <w:p w14:paraId="35A03386">
      <w:pPr>
        <w:numPr>
          <w:ilvl w:val="0"/>
          <w:numId w:val="1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核心变量说明</w:t>
      </w:r>
    </w:p>
    <w:p w14:paraId="79F67504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年龄 (age_at_index)：连续型变量</w:t>
      </w:r>
    </w:p>
    <w:p w14:paraId="60909A5E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最小值：20</w:t>
      </w:r>
    </w:p>
    <w:p w14:paraId="1D47D8DE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最大值：88</w:t>
      </w:r>
    </w:p>
    <w:p w14:paraId="5E71D464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中位数：46</w:t>
      </w:r>
    </w:p>
    <w:p w14:paraId="6671E70C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平均数：48.7</w:t>
      </w:r>
    </w:p>
    <w:p w14:paraId="59EFEE26">
      <w:pPr>
        <w:numPr>
          <w:ilvl w:val="0"/>
          <w:numId w:val="0"/>
        </w:numPr>
        <w:ind w:left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四分位数间距：（138，56.5）</w:t>
      </w:r>
    </w:p>
    <w:p w14:paraId="5A04B7A7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6690" cy="792480"/>
            <wp:effectExtent l="0" t="0" r="635" b="7620"/>
            <wp:docPr id="1" name="图片 1" descr="68114eca3246ff2c281a7f7d79b0c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114eca3246ff2c281a7f7d79b0cd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7B25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生存状态 (vital_status)：分类变量</w:t>
      </w:r>
    </w:p>
    <w:p w14:paraId="2B7FC397">
      <w:pPr>
        <w:numPr>
          <w:ilvl w:val="0"/>
          <w:numId w:val="0"/>
        </w:numPr>
        <w:ind w:left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死亡=1：72</w:t>
      </w:r>
    </w:p>
    <w:p w14:paraId="7CAD2A50">
      <w:pPr>
        <w:numPr>
          <w:ilvl w:val="0"/>
          <w:numId w:val="0"/>
        </w:numPr>
        <w:ind w:leftChars="3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生存=0：235</w:t>
      </w:r>
    </w:p>
    <w:p w14:paraId="338A3D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9230" cy="1001395"/>
            <wp:effectExtent l="0" t="0" r="7620" b="8255"/>
            <wp:docPr id="2" name="图片 2" descr="0370004eaf2ec6294978fe529db23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70004eaf2ec6294978fe529db233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AAF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FIGO分期 (figo_stage)：分类变量，存在缺失值（54）</w:t>
      </w:r>
    </w:p>
    <w:p w14:paraId="2045947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7325" cy="645160"/>
            <wp:effectExtent l="0" t="0" r="0" b="2540"/>
            <wp:docPr id="3" name="图片 3" descr="f6bec4d055418d5025f527101863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6bec4d055418d5025f52710186310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51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将FIGO分期进行合并</w:t>
      </w:r>
    </w:p>
    <w:p w14:paraId="2500107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67325" cy="807085"/>
            <wp:effectExtent l="0" t="0" r="0" b="2540"/>
            <wp:docPr id="5" name="图片 5" descr="b560e621314690068eda364a8b41e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560e621314690068eda364a8b41e2c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60F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肿瘤分级：分类变量，存在缺失值以及不合理值（72）</w:t>
      </w:r>
    </w:p>
    <w:p w14:paraId="426869D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73040" cy="1080135"/>
            <wp:effectExtent l="0" t="0" r="3810" b="5715"/>
            <wp:docPr id="4" name="图片 4" descr="663b1a1da30c35a5b9bb0df0e707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3b1a1da30c35a5b9bb0df0e7071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48DB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治疗方式：拟设为分类变量，有无子宫切除术</w:t>
      </w:r>
    </w:p>
    <w:p w14:paraId="77EFF126">
      <w:pPr>
        <w:numPr>
          <w:numId w:val="0"/>
        </w:numPr>
        <w:ind w:leftChars="0"/>
        <w:rPr>
          <w:rFonts w:hint="default" w:ascii="宋体" w:hAnsi="宋体" w:eastAsia="宋体" w:cs="宋体"/>
          <w:sz w:val="32"/>
          <w:szCs w:val="32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根据是否进行子宫颈切除术进行设置成分类变量</w:t>
      </w:r>
    </w:p>
    <w:p w14:paraId="18462046">
      <w:pPr>
        <w:numPr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drawing>
          <wp:inline distT="0" distB="0" distL="114300" distR="114300">
            <wp:extent cx="5270500" cy="1010920"/>
            <wp:effectExtent l="0" t="0" r="6350" b="8255"/>
            <wp:docPr id="6" name="图片 6" descr="dd7282e2620b0efa58f1624d39519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d7282e2620b0efa58f1624d39519ca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6AB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主要缺失集中在 FIGO 分期和肿瘤分级，需注意处理缺失值。</w:t>
      </w:r>
    </w:p>
    <w:p w14:paraId="0C60FFB0">
      <w:pPr>
        <w:numPr>
          <w:ilvl w:val="0"/>
          <w:numId w:val="0"/>
        </w:numPr>
        <w:ind w:leftChars="0" w:firstLine="640" w:firstLineChars="200"/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针对暴露因素—肿瘤分级 进行删除缺失值前后的敏感性分析</w:t>
      </w:r>
    </w:p>
    <w:p w14:paraId="5B1DE9A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2"/>
          <w:szCs w:val="32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highlight w:val="yellow"/>
          <w:lang w:val="en-US" w:eastAsia="zh-CN"/>
        </w:rPr>
        <w:drawing>
          <wp:inline distT="0" distB="0" distL="114300" distR="114300">
            <wp:extent cx="5269865" cy="1125855"/>
            <wp:effectExtent l="0" t="0" r="6985" b="7620"/>
            <wp:docPr id="7" name="图片 7" descr="2470ed78-c46a-47d1-a523-a0422a1c0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470ed78-c46a-47d1-a523-a0422a1c08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E071">
      <w:pPr>
        <w:numPr>
          <w:ilvl w:val="0"/>
          <w:numId w:val="0"/>
        </w:numPr>
        <w:ind w:leftChars="0" w:firstLine="640" w:firstLineChars="200"/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对于肿瘤分级，在主分析中删除了缺失值（n=235），在敏感性分析中保留了“Unknown”组（n=289）。结果显示，Unknown组的死亡风险显著高于G1组（</w:t>
      </w:r>
      <w:r>
        <w:rPr>
          <w:rFonts w:hint="eastAsia" w:ascii="宋体" w:hAnsi="宋体" w:eastAsia="宋体" w:cs="宋体"/>
          <w:i/>
          <w:iCs/>
          <w:sz w:val="32"/>
          <w:szCs w:val="32"/>
          <w:highlight w:val="yellow"/>
          <w:lang w:val="en-US" w:eastAsia="zh-CN"/>
        </w:rPr>
        <w:t xml:space="preserve">HR </w:t>
      </w: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 xml:space="preserve">= 4.87, </w:t>
      </w:r>
      <w:r>
        <w:rPr>
          <w:rFonts w:hint="eastAsia" w:ascii="宋体" w:hAnsi="宋体" w:eastAsia="宋体" w:cs="宋体"/>
          <w:i/>
          <w:iCs/>
          <w:sz w:val="32"/>
          <w:szCs w:val="32"/>
          <w:highlight w:val="yellow"/>
          <w:lang w:val="en-US" w:eastAsia="zh-CN"/>
        </w:rPr>
        <w:t xml:space="preserve">P </w:t>
      </w: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= 0.03），提示分级信息缺失本身可能是不良预后信号。因此，直接删除缺失值可能会低估高危人群的风险，在后续分析中保留“Unknown”组作为独立类别。</w:t>
      </w:r>
    </w:p>
    <w:p w14:paraId="01F7E06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2"/>
          <w:szCs w:val="32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5EA12"/>
    <w:multiLevelType w:val="singleLevel"/>
    <w:tmpl w:val="9E25EA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745D3C4"/>
    <w:multiLevelType w:val="singleLevel"/>
    <w:tmpl w:val="3745D3C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D6283"/>
    <w:rsid w:val="2B342280"/>
    <w:rsid w:val="4A4420AC"/>
    <w:rsid w:val="5F4266C5"/>
    <w:rsid w:val="696A2302"/>
    <w:rsid w:val="7428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234</Characters>
  <Lines>0</Lines>
  <Paragraphs>0</Paragraphs>
  <TotalTime>75</TotalTime>
  <ScaleCrop>false</ScaleCrop>
  <LinksUpToDate>false</LinksUpToDate>
  <CharactersWithSpaces>240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2026-06-09T10:13:00Z</dcterms:created>
  <dc:creator>会发光</dc:creator>
  <cp:lastModifiedBy>会发光</cp:lastModifiedBy>
  <dcterms:modified xsi:type="dcterms:W3CDTF">2026-06-12T09:36:14Z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eyJoZGlkIjoiODFhOWFhZDY1NTQ5YWViZWEyZTA5ZTQ0OTQwNjgwZjMiLCJ1c2VySWQiOiI0NjkwODEyNDgifQ==</vt:lpwstr>
  </property>
  <property fmtid="{D5CDD505-2E9C-101B-9397-08002B2CF9AE}" pid="4" name="ICV">
    <vt:lpwstr>DC03E2E56E094A0ABBA15DCA0E2CE9CC_13</vt:lpwstr>
  </property>
</Properties>
</file>