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**表2 GDM组与非GDM组研究对象基线特征对比**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3"/>
        <w:gridCol w:w="1206"/>
        <w:gridCol w:w="2221"/>
        <w:gridCol w:w="2025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变量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无GDM病史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271,638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有GDM病史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冠心病发病情况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未发生冠心病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250,090.0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209.0 (95.9%)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发生冠心病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21,548.0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(4.1%)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年龄(岁)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 ± 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 ± 3.5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身体质量指数(kg/m²)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 (23.5, 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 (24.6, 32.8)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18-29岁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2,816.0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 (9.6%)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69,208.0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186.0 (85.3%)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98,983.0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60-69岁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100,630.0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70-80岁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偏瘦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2,079.0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正常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79,727.0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 (20.2%)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超重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93,758.0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 (31.2%)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肥胖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96,074.0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106.0 (48.6%)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吸烟状态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不愿作答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1,042.0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161,407.0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144.0 (66.1%)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既往吸烟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85,030.0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 (26.1%)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目前吸烟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24,159.0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 (7.8%)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本科/大学学历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86,367.0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 (39.0%)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A水准/同等学力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31,846.0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 (15.6%)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GCSE/同等学力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62,818.0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 (19.3%)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CSE/同等学力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14,528.0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 (6.0%)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NVQ/HND/同等学力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12,092.0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 (6.4%)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其他专业资质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15,561.0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 (4.6%)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以上学历均无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45,626.0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 (8.3%)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不愿作答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2,800.0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(0.9%)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饮酒状态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不愿作答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358.0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15,759.0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 (15.1%)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既往饮酒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9,862.0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(3.7%)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目前饮酒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245,659.0 (90.4%)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177.0 (81.2%)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± SD;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2026-06-16T00:33:13Z</dcterms:modified>
  <cp:category/>
</cp:coreProperties>
</file>