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表1 研究对象基线特征表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2025"/>
        <w:gridCol w:w="2025"/>
        <w:gridCol w:w="2025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特征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3,072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未患乳腺癌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2,963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年龄（岁）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(34.5, 63.0)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(34.0, 62.0)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 (60.0, 75.0)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1,121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多民族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1,052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681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791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收入贫困比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体重指数（kg/m²）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 (24.5, 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 (24.5, 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 (25.2, 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吸烟状态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2,079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2,004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1,529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1,483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(3.7%)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数据以中位数（四分位数）或例数（百分比）表示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2026-06-26T20:09:10Z</dcterms:modified>
  <cp:category/>
</cp:coreProperties>
</file>