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表4 敏感性分析结果汇总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2"/>
        <w:gridCol w:w="839"/>
        <w:gridCol w:w="1389"/>
        <w:gridCol w:w="1181"/>
        <w:gridCol w:w="839"/>
        <w:gridCol w:w="1389"/>
        <w:gridCol w:w="1181"/>
        <w:gridCol w:w="839"/>
        <w:gridCol w:w="1389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3分组暴露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排除其他癌症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调整饮酒量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饮酒频次（3分组）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低频率饮酒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高频率饮酒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in years at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非西裔白人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墨西哥裔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0.43, 2.08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其他西班牙裔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非西裔黑人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其他种族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本科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初中及以下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0.54, 2.15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大专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研究生及以上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 of family income to poverty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(kg/m**2)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曾吸烟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饮酒频次分组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少量饮酒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中等饮酒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频繁饮酒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日均饮酒杯数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0.76, 1.24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2026-06-26T20:10:23Z</dcterms:modified>
  <cp:category/>
</cp:coreProperties>
</file>