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表2. 研究人群加权基线特征及组间比较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58"/>
        <w:gridCol w:w="3829"/>
        <w:gridCol w:w="3951"/>
        <w:gridCol w:w="1212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桥本阴性 (加权 n = 51583821.749582)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桥本阳性 (加权 n = 9621435.29640833)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P值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年龄 (岁)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 (32.0, 57.0)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 (40.0, 63.0)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身体质量指数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 (24.1, 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 (23.6, 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贫困收入比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 (1.4,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 (1.8,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尿镉 (μg/g 肌酐)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 (1.7,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性别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男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26,441,549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3,274,112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25,142,272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6,347,324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种族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白人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35,197,266 (68.2%)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7,476,639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黑人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5,985,065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418,903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西班牙裔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6,998,906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1,078,185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3,402,585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647,708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教育程度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低于高中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9,530,462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1,288,859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11,458,743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2,220,761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大学及以上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30,594,617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6,111,814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吸烟状况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27,739,823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5,525,139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23,843,999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4,096,296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高血压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15,264,188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2,973,201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无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36,319,633 (70.4%)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6,648,235 (69.1%)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2026-07-08T16:03:49Z</dcterms:modified>
  <cp:category/>
</cp:coreProperties>
</file>