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表1. 研究人群加权基线特征 (NHANES 2007-2012)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8"/>
        <w:gridCol w:w="3291"/>
        <w:gridCol w:w="3413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 (加权 n = 51583821.749582)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 (加权 n = 9621435.29640833)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年龄 (岁)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 (32.0, 57.0)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(40.0, 63.0)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身体质量指数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 (24.1, 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 (23.6, 31.2)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贫困收入比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 (1.8, 5.0)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尿镉 (μg/g 肌酐)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(1.7, 5.2)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性别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男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26,441,549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3,274,112 (34.0%)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25,142,272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6,347,324 (66.0%)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35,197,266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7,476,639 (77.7%)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5,985,065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418,903 (4.4%)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6,998,906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1,078,185 (11.2%)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3,402,585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647,708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教育程度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低于高中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9,530,462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1,288,859 (13.4%)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11,458,743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2,220,761 (23.1%)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大学及以上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30,594,617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6,111,814 (63.5%)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吸烟状况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27,739,823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5,525,139 (57.4%)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23,843,999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4,096,296 (42.6%)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高血压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15,264,188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2,973,201 (30.9%)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36,319,633 (70.4%)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6,648,235 (69.1%)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2026-06-10T22:40:17Z</dcterms:modified>
  <cp:category/>
</cp:coreProperties>
</file>