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表2 饮酒频次与乳腺癌患病的logistic回归分析结果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961"/>
        <w:gridCol w:w="839"/>
        <w:gridCol w:w="1389"/>
        <w:gridCol w:w="1181"/>
        <w:gridCol w:w="839"/>
        <w:gridCol w:w="1389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单因素回归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多因素调整回归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特征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年龄（岁）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1.06, 1.09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非西裔白人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墨西哥裔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其他西班牙裔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非西裔黑人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其他种族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教育程度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本科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初中及以下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0.19, 1.62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0.15, 1.49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高中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0.53, 2.13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大专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0.57, 1.63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研究生及以上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0.67, 1.93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收入贫困比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1.00, 1.26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体重指数（kg/m²）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吸烟状态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曾吸烟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饮酒频次分组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从不饮酒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少量饮酒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中等饮酒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频繁饮酒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0.30, 2.09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0.22, 1.69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OR = Odds Ratio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2026-06-26T20:09:48Z</dcterms:modified>
  <cp:category/>
</cp:coreProperties>
</file>