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527BD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数据来源：TCGA-CESC n=307</w:t>
      </w:r>
    </w:p>
    <w:p w14:paraId="35A03386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核心变量说明</w:t>
      </w:r>
    </w:p>
    <w:p w14:paraId="79F67504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年龄 (age_at_index)：连续型变量</w:t>
      </w:r>
    </w:p>
    <w:p w14:paraId="60909A5E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最小值：20</w:t>
      </w:r>
    </w:p>
    <w:p w14:paraId="1D47D8DE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最大值：88</w:t>
      </w:r>
    </w:p>
    <w:p w14:paraId="5E71D464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中位数：46</w:t>
      </w:r>
    </w:p>
    <w:p w14:paraId="6671E70C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平均数：48.7</w:t>
      </w:r>
    </w:p>
    <w:p w14:paraId="59EFEE26">
      <w:pPr>
        <w:numPr>
          <w:ilvl w:val="0"/>
          <w:numId w:val="0"/>
        </w:numPr>
        <w:ind w:left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四分位数间距：（138，56.5）</w:t>
      </w:r>
    </w:p>
    <w:p w14:paraId="5A04B7A7">
      <w:pPr>
        <w:numPr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6690" cy="792480"/>
            <wp:effectExtent l="0" t="0" r="635" b="7620"/>
            <wp:docPr id="1" name="图片 1" descr="68114eca3246ff2c281a7f7d79b0c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8114eca3246ff2c281a7f7d79b0cd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7B25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生存状态 (vital_status)：分类变量</w:t>
      </w:r>
    </w:p>
    <w:p w14:paraId="2B7FC397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死亡=1：72</w:t>
      </w:r>
    </w:p>
    <w:p w14:paraId="7CAD2A50">
      <w:pPr>
        <w:numPr>
          <w:ilvl w:val="0"/>
          <w:numId w:val="0"/>
        </w:numPr>
        <w:ind w:left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生存=0：235</w:t>
      </w:r>
    </w:p>
    <w:p w14:paraId="338A3DD1">
      <w:pPr>
        <w:numPr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9230" cy="1001395"/>
            <wp:effectExtent l="0" t="0" r="7620" b="8255"/>
            <wp:docPr id="2" name="图片 2" descr="0370004eaf2ec6294978fe529db23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70004eaf2ec6294978fe529db233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2AAF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FIGO分期 (figo_stage)：分类变量，存在缺失值（54）</w:t>
      </w:r>
    </w:p>
    <w:p w14:paraId="2045947B">
      <w:pPr>
        <w:numPr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7325" cy="645160"/>
            <wp:effectExtent l="0" t="0" r="0" b="2540"/>
            <wp:docPr id="3" name="图片 3" descr="f6bec4d055418d5025f527101863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6bec4d055418d5025f52710186310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60F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肿瘤分级：分类变量，存在缺失值以及不合理值（72）</w:t>
      </w:r>
    </w:p>
    <w:p w14:paraId="426869D0">
      <w:pPr>
        <w:numPr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73040" cy="1080135"/>
            <wp:effectExtent l="0" t="0" r="3810" b="5715"/>
            <wp:docPr id="4" name="图片 4" descr="663b1a1da30c35a5b9bb0df0e707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3b1a1da30c35a5b9bb0df0e7071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48DB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治疗方式：拟设为分类变量，有无子宫切除术</w:t>
      </w:r>
    </w:p>
    <w:p w14:paraId="462B834E">
      <w:pPr>
        <w:numPr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主要缺失集中在 FIGO 分期和肿瘤分级，需注意处理缺失值。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5EA12"/>
    <w:multiLevelType w:val="singleLevel"/>
    <w:tmpl w:val="9E25EA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745D3C4"/>
    <w:multiLevelType w:val="singleLevel"/>
    <w:tmpl w:val="3745D3C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42280"/>
    <w:rsid w:val="4A4420AC"/>
    <w:rsid w:val="5F4266C5"/>
    <w:rsid w:val="7428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2026-06-09T10:13:06Z</dcterms:created>
  <dc:creator>会发光</dc:creator>
  <cp:lastModifiedBy>会发光</cp:lastModifiedBy>
  <dcterms:modified xsi:type="dcterms:W3CDTF">2026-06-09T11:02:17Z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eyJoZGlkIjoiODFhOWFhZDY1NTQ5YWViZWEyZTA5ZTQ0OTQwNjgwZjMiLCJ1c2VySWQiOiI0NjkwODEyNDgifQ==</vt:lpwstr>
  </property>
  <property fmtid="{D5CDD505-2E9C-101B-9397-08002B2CF9AE}" pid="4" name="ICV">
    <vt:lpwstr>009DDEFB40844720806A6F2A461ECD22_12</vt:lpwstr>
  </property>
</Properties>
</file>