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研究对象总体基线特征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5"/>
        <w:gridCol w:w="2576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基线特征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总人群(n=5551)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65-74岁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3,987(71.82%)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75-84岁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1,389(25.02%)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85岁及以上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175(3.15%)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389(7.01%)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小学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1,427(25.71%)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小学及以下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2,970(53.50%)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765(13.78%)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家庭人均消费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10,150(5,593, 18,660)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srh_label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很差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421(7.58%)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较差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1,405(25.31%)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一般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2,611(47.04%)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较好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602(10.84%)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很好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512(9.22%)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648(11.67%)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1,127(20.30%)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1,111(20.01%)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997(17.96%)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666(12.00%)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5种及以上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1,002(18.05%)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性别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2,773(49.95%)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2,778(50.05%)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婚姻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1,283(23.11%)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4,268(76.89%)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居住地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2,137(38.50%)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3,414(61.50%)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是否有医疗保险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194(3.49%)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5,357(96.51%)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现在是否吸烟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4,133(74.46%)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1,418(25.54%)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n(%); Median(Q1, Q3)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2026-06-12T19:43:09Z</dcterms:modified>
  <cp:category/>
</cp:coreProperties>
</file>