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Times New Roman" w:hAnsi="Times New Roman"/>
          <w:color w:val="1F2328"/>
          <w:sz w:val="34"/>
        </w:rPr>
        <w:t>Bounding Lower-Limb Motor-Imagery Decodability on an 8-Channel Wearable EEG Montage: Rest Is Detectable, Standing and Walking Are Not Separable</w:t>
      </w:r>
    </w:p>
    <w:p>
      <w:pPr>
        <w:jc w:val="both"/>
      </w:pPr>
      <w:r>
        <w:rPr>
          <w:b/>
        </w:rPr>
        <w:t>Draft v1.</w:t>
      </w:r>
      <w:r>
        <w:rPr/>
        <w:t xml:space="preserve"> Every number below traces to a script in this folder; the source is named in square brackets after each result so it can be regenerated or checked. Text in </w:t>
      </w:r>
      <w:r>
        <w:rPr>
          <w:rFonts w:ascii="Consolas" w:hAnsi="Consolas"/>
          <w:sz w:val="18"/>
        </w:rPr>
        <w:t>⟨angle brackets⟩</w:t>
      </w:r>
      <w:r>
        <w:rPr/>
        <w:t xml:space="preserve"> is a placeholder you must fill.</w:t>
      </w:r>
    </w:p>
    <w:p>
      <w:pPr>
        <w:jc w:val="both"/>
      </w:pPr>
      <w:r>
        <w:rPr/>
        <w:t xml:space="preserve">Target: IEEE TNSRE (matches the reference paradigm, Ma </w:t>
      </w:r>
      <w:r>
        <w:rPr>
          <w:i/>
        </w:rPr>
        <w:t>et al.</w:t>
      </w:r>
      <w:r>
        <w:rPr/>
        <w:t xml:space="preserve"> 2023).</w:t>
      </w:r>
    </w:p>
    <w:p>
      <w:pPr>
        <w:pBdr>
          <w:bottom w:val="single" w:sz="6" w:color="BBBBBB"/>
        </w:pBdr>
      </w:pPr>
    </w:p>
    <w:p>
      <w:pPr>
        <w:pStyle w:val="Heading2"/>
        <w:spacing w:before="280" w:after="80"/>
      </w:pPr>
      <w:r>
        <w:rPr>
          <w:rFonts w:ascii="Times New Roman" w:hAnsi="Times New Roman"/>
          <w:color w:val="1F2328"/>
          <w:sz w:val="28"/>
        </w:rPr>
        <w:t>Abstract</w:t>
      </w:r>
    </w:p>
    <w:p>
      <w:pPr>
        <w:jc w:val="both"/>
      </w:pPr>
      <w:r>
        <w:rPr>
          <w:b/>
        </w:rPr>
        <w:t>Objective.</w:t>
      </w:r>
      <w:r>
        <w:rPr/>
        <w:t xml:space="preserve"> Brain–computer interfaces for lower-limb exoskeletons must distinguish rest, standing-up and walking intentions. Whether a low-cost 8-channel wearable montage can support that distinction is unknown; existing demonstrations use 56–64 electrode research systems. </w:t>
      </w:r>
      <w:r>
        <w:rPr>
          <w:b/>
        </w:rPr>
        <w:t>Methods.</w:t>
      </w:r>
      <w:r>
        <w:rPr/>
        <w:t xml:space="preserve"> Ten participants performed motor imagery of rest, standing up, and walking (50 trials each) with a Bitbrain Versatile 8-channel montage at 256 Hz. Decoding used filter-bank Riemannian tangent-space features with nested cross-validation, benchmarked against 18 further pipelines including FBCSP and EEGNet. Claims were tested with per-participant permutation nulls, a chronological split, a corrected resampled </w:t>
      </w:r>
      <w:r>
        <w:rPr>
          <w:i/>
        </w:rPr>
        <w:t>t</w:t>
      </w:r>
      <w:r>
        <w:rPr/>
        <w:t xml:space="preserve">-test, and topography-based physiological screens. </w:t>
      </w:r>
      <w:r>
        <w:rPr>
          <w:b/>
        </w:rPr>
        <w:t>Results.</w:t>
      </w:r>
      <w:r>
        <w:rPr/>
        <w:t xml:space="preserve"> Rest was detectable against both imagery conditions — 64.5 % versus walking (significant in 8/10 participants) and 65.8 % versus standing (5/10); both are significant at the participant level (</w:t>
      </w:r>
      <w:r>
        <w:rPr>
          <w:i/>
        </w:rPr>
        <w:t>p</w:t>
      </w:r>
      <w:r>
        <w:rPr/>
        <w:t xml:space="preserve"> ≤ .0026, </w:t>
      </w:r>
      <w:r>
        <w:rPr>
          <w:i/>
        </w:rPr>
        <w:t>n</w:t>
      </w:r>
      <w:r>
        <w:rPr/>
        <w:t xml:space="preserve"> = 10). Standing versus walking reached only 53.1 % (1/10) and is not significantly above chance across participants (</w:t>
      </w:r>
      <w:r>
        <w:rPr>
          <w:i/>
        </w:rPr>
        <w:t>p</w:t>
      </w:r>
      <w:r>
        <w:rPr/>
        <w:t xml:space="preserve"> = .246, 95 % CI [47.5, 58.7]), while being significantly </w:t>
      </w:r>
      <w:r>
        <w:rPr>
          <w:i/>
        </w:rPr>
        <w:t>below</w:t>
      </w:r>
      <w:r>
        <w:rPr/>
        <w:t xml:space="preserve"> the ~70 % usability threshold (</w:t>
      </w:r>
      <w:r>
        <w:rPr>
          <w:i/>
        </w:rPr>
        <w:t>p</w:t>
      </w:r>
      <w:r>
        <w:rPr/>
        <w:t xml:space="preserve"> = 4.1 × 10⁻⁵). </w:t>
      </w:r>
      <w:r>
        <w:rPr>
          <w:i/>
        </w:rPr>
        <w:t>That positive result carries one caveat: against the visually matched rest condition, only 1/10 participants showed the expected mu desynchronisation, so the rest-versus-imagery separation cannot be attributed specifically to motor imagery as opposed to differences in visual attention.</w:t>
      </w:r>
      <w:r>
        <w:rPr/>
        <w:t xml:space="preserve"> The negative is bounded rather than merely unachieved: an 840-configuration search scored optimistically on the reported folds averaged 68.4 % and left seven of ten participants below 70 %; the learning curve yields +1.7 points for a doubled session; accuracy saturates at three electrodes; and the standing and walking topographies differ no more than two random halves of a single condition do (ratio 1.07–1.12, </w:t>
      </w:r>
      <w:r>
        <w:rPr>
          <w:i/>
        </w:rPr>
        <w:t>p</w:t>
      </w:r>
      <w:r>
        <w:rPr/>
        <w:t xml:space="preserve"> &gt; .46). One participant reached 67 % but the effect proved to be a spatially uniform arousal-and-muscle-tone difference, not sensorimotor rhythm. A motor-execution positive control on the same hardware separates two </w:t>
      </w:r>
      <w:r>
        <w:rPr>
          <w:i/>
        </w:rPr>
        <w:t>executed</w:t>
      </w:r>
      <w:r>
        <w:rPr/>
        <w:t xml:space="preserve"> movements at </w:t>
      </w:r>
      <w:r>
        <w:rPr>
          <w:b/>
        </w:rPr>
        <w:t>91.1 %</w:t>
      </w:r>
      <w:r>
        <w:rPr/>
        <w:t xml:space="preserve"> in every participant, so no result here reflects a broken recording; but that separation is peripheral — beta rises during movement and shows no post-movement rebound — and the cortical component is a mu-specific trough only 1.56 dB deep. The ordering of every accuracy we report follows the peripheral signal available in the contrast, not the cortical difference the paradigm intended to elicit. </w:t>
      </w:r>
      <w:r>
        <w:rPr>
          <w:b/>
        </w:rPr>
        <w:t>Conclusion.</w:t>
      </w:r>
      <w:r>
        <w:rPr/>
        <w:t xml:space="preserve"> The compound-limbs element cannot help as implemented, but for a more specific reason than the absence of an asymmetry. The benefit reported by Ma </w:t>
      </w:r>
      <w:r>
        <w:rPr>
          <w:i/>
        </w:rPr>
        <w:t>et al.</w:t>
      </w:r>
      <w:r>
        <w:rPr/>
        <w:t xml:space="preserve"> requires the mirrored configurations to sit in </w:t>
      </w:r>
      <w:r>
        <w:rPr>
          <w:i/>
        </w:rPr>
        <w:t>different classes</w:t>
      </w:r>
      <w:r>
        <w:rPr/>
        <w:t xml:space="preserve">; the walking instruction here places both inside one trial, where a trial-averaged laterality contrast cancels them (+0.026 dB, </w:t>
      </w:r>
      <w:r>
        <w:rPr>
          <w:i/>
        </w:rPr>
        <w:t>p</w:t>
      </w:r>
      <w:r>
        <w:rPr/>
        <w:t xml:space="preserve"> = .73). Six timing-free tests of the within-trial alternation and a peak-locked analysis were run; the strongest reached +1.02 dB with 56.1 % decoding (</w:t>
      </w:r>
      <w:r>
        <w:rPr>
          <w:i/>
        </w:rPr>
        <w:t>p</w:t>
      </w:r>
      <w:r>
        <w:rPr/>
        <w:t xml:space="preserve"> = .0084) and does not clear correction for the ten hypotheses tested, so that question is left open rather than answered. </w:t>
      </w:r>
      <w:r>
        <w:rPr>
          <w:b/>
        </w:rPr>
        <w:t>Significance.</w:t>
      </w:r>
      <w:r>
        <w:rPr/>
        <w:t xml:space="preserve"> We provide a bounded null for a clinically motivated contrast, and a worked demonstration that accuracy plus a permutation </w:t>
      </w:r>
      <w:r>
        <w:rPr>
          <w:i/>
        </w:rPr>
        <w:t>p</w:t>
      </w:r>
      <w:r>
        <w:rPr/>
        <w:t>-value is insufficient evidence for a BCI claim on a low-channel montage.</w:t>
      </w:r>
    </w:p>
    <w:p>
      <w:pPr>
        <w:jc w:val="both"/>
      </w:pPr>
      <w:r>
        <w:rPr>
          <w:b/>
        </w:rPr>
        <w:t>Index terms</w:t>
      </w:r>
      <w:r>
        <w:rPr/>
        <w:t xml:space="preserve"> — motor imagery, lower limb, low-channel EEG, Riemannian geometry, negative results, electromyographic contamination.</w:t>
      </w:r>
    </w:p>
    <w:p>
      <w:pPr>
        <w:pBdr>
          <w:bottom w:val="single" w:sz="6" w:color="BBBBBB"/>
        </w:pBdr>
      </w:pPr>
    </w:p>
    <w:p>
      <w:pPr>
        <w:pStyle w:val="Heading2"/>
        <w:spacing w:before="280" w:after="80"/>
      </w:pPr>
      <w:r>
        <w:rPr>
          <w:rFonts w:ascii="Times New Roman" w:hAnsi="Times New Roman"/>
          <w:color w:val="1F2328"/>
          <w:sz w:val="28"/>
        </w:rPr>
        <w:t>I. Introduction</w:t>
      </w:r>
    </w:p>
    <w:p>
      <w:pPr>
        <w:jc w:val="both"/>
      </w:pPr>
      <w:r>
        <w:rPr/>
        <w:t>⟨Two paragraphs of standard framing: exoskeleton BCIs, why lower-limb MI matters, why low-cost wearable montages matter for deployment. Cite the existing lower-limb MI literature you already have in the lab folder.⟩</w:t>
      </w:r>
    </w:p>
    <w:p>
      <w:pPr>
        <w:jc w:val="both"/>
      </w:pPr>
      <w:r>
        <w:rPr/>
        <w:t xml:space="preserve">Ma </w:t>
      </w:r>
      <w:r>
        <w:rPr>
          <w:i/>
        </w:rPr>
        <w:t>et al.</w:t>
      </w:r>
      <w:r>
        <w:rPr/>
        <w:t xml:space="preserve"> [1] recently showed that adding a contralateral upper-limb swing to lower-limb motor imagery raises imagery decoding accuracy to 73.70 ± 12.47 %, which they report as </w:t>
      </w:r>
      <w:r>
        <w:rPr>
          <w:b/>
        </w:rPr>
        <w:t>11.02 points above</w:t>
      </w:r>
      <w:r>
        <w:rPr/>
        <w:t xml:space="preserve"> their single-lower-limb paradigm — a compound-limbs design intended to match natural gait. That result was obtained with a 56-electrode head cap on a 256-channel g.HIamp amplifier at 1200 Hz, four electrooculography and four surface-electromyography channels for artifact rejection, and an electromagnetically shielded environment.</w:t>
      </w:r>
    </w:p>
    <w:p>
      <w:pPr>
        <w:jc w:val="both"/>
      </w:pPr>
      <w:r>
        <w:rPr/>
        <w:t>A walking exoskeleton does not need to know which leg is stepping; it needs to know whether the wearer intends to stay still, to stand up, or to walk. Those three states, not the left-versus-right contrasts of [1], are the class set a device would be built around, and no study has established whether they are separable on hardware a person could actually wear.</w:t>
      </w:r>
    </w:p>
    <w:p>
      <w:pPr>
        <w:jc w:val="both"/>
      </w:pPr>
      <w:r>
        <w:rPr/>
        <w:t>Two questions follow, and they are the subject of this paper.</w:t>
      </w:r>
    </w:p>
    <w:p>
      <w:pPr>
        <w:jc w:val="both"/>
      </w:pPr>
      <w:r>
        <w:rPr>
          <w:b/>
        </w:rPr>
        <w:t>Q1. Can the clinically required class set — rest, standing-up and walking imagery — be separated on a consumer-grade 8-channel montage?</w:t>
      </w:r>
    </w:p>
    <w:p>
      <w:pPr>
        <w:jc w:val="both"/>
      </w:pPr>
      <w:r>
        <w:rPr>
          <w:b/>
        </w:rPr>
        <w:t>Q2. Does incorporating the compound-limbs element of [1] — pairing the imagined step with a contralateral arm swing — help on that class set?</w:t>
      </w:r>
    </w:p>
    <w:p>
      <w:pPr>
        <w:jc w:val="both"/>
      </w:pPr>
      <w:r>
        <w:rPr>
          <w:b/>
        </w:rPr>
        <w:t xml:space="preserve">The answer to Q1 is </w:t>
      </w:r>
      <w:r>
        <w:rPr>
          <w:b/>
          <w:i/>
        </w:rPr>
        <w:t>partly</w:t>
      </w:r>
      <w:r>
        <w:rPr>
          <w:b/>
        </w:rPr>
        <w:t>.</w:t>
      </w:r>
      <w:r>
        <w:rPr/>
        <w:t xml:space="preserve"> Rest is detectable against both imagery conditions; standing and walking imagery are not separable from one another.</w:t>
      </w:r>
    </w:p>
    <w:p>
      <w:pPr>
        <w:jc w:val="both"/>
      </w:pPr>
      <w:r>
        <w:rPr>
          <w:b/>
        </w:rPr>
        <w:t>Q2 could not be answered as posed, and that is itself the finding.</w:t>
      </w:r>
      <w:r>
        <w:rPr/>
        <w:t xml:space="preserve"> The mechanism the compound-limbs manipulation exploits in [1] is a contralateral C3/C4 asymmetry that arises only when the two classes are mirror images of each other. Here the mirrored pair exists </w:t>
      </w:r>
      <w:r>
        <w:rPr>
          <w:i/>
        </w:rPr>
        <w:t>within</w:t>
      </w:r>
      <w:r>
        <w:rPr/>
        <w:t xml:space="preserve"> a walking trial — the instruction specifies two steps, so both configurations occur in sequence — rather than </w:t>
      </w:r>
      <w:r>
        <w:rPr>
          <w:i/>
        </w:rPr>
        <w:t>between</w:t>
      </w:r>
      <w:r>
        <w:rPr/>
        <w:t xml:space="preserve"> classes, and a trial-averaged contrast cancels them by construction. We therefore report neither that the benefit failed to transfer to eight channels nor that the asymmetry is absent, but that this class set places it where a between-class contrast cannot reach it. Section IV-A quantifies what remains, and Section III-J reports the strongest attempt to recover the alternation directly.</w:t>
      </w:r>
    </w:p>
    <w:p>
      <w:pPr>
        <w:jc w:val="both"/>
      </w:pPr>
      <w:r>
        <w:rPr>
          <w:b/>
        </w:rPr>
        <w:t>Contributions.</w:t>
      </w:r>
    </w:p>
    <w:p>
      <w:pPr>
        <w:pStyle w:val="ListNumber"/>
      </w:pPr>
      <w:r>
        <w:rPr/>
        <w:t>A nested-cross-validated benchmark of the three clinically motivated classes on an 8-channel wearable montage, reported per participant rather than as a group mean.</w:t>
      </w:r>
    </w:p>
    <w:p>
      <w:pPr>
        <w:pStyle w:val="ListNumber"/>
      </w:pPr>
      <w:r>
        <w:rPr/>
        <w:t xml:space="preserve">A </w:t>
      </w:r>
      <w:r>
        <w:rPr>
          <w:i/>
        </w:rPr>
        <w:t>bounded</w:t>
      </w:r>
      <w:r>
        <w:rPr/>
        <w:t xml:space="preserve"> negative result for standing-versus-walking imagery, established by exhaustive search over preprocessing and decoder families rather than asserted from a single pipeline.</w:t>
      </w:r>
    </w:p>
    <w:p>
      <w:pPr>
        <w:pStyle w:val="ListNumber"/>
      </w:pPr>
      <w:r>
        <w:rPr/>
        <w:t>A physiological account of that null rather than an assertion of it: the two conditions produce scalp topographies no more different than two random halves of a single condition; the montage spans ~1.5 effective spatial dimensions; and a spatial constraint deliberately pointed at the wrong anatomy costs 4.5 points on a contrast that does carry localised signal while costing nothing on this one.</w:t>
      </w:r>
    </w:p>
    <w:p>
      <w:pPr>
        <w:pStyle w:val="ListNumber"/>
      </w:pPr>
      <w:r>
        <w:rPr/>
        <w:t>A screen — spatial gradient, rhythm specificity, band ablation and stability across a within-session gap — that identifies an apparently significant decoding result as arousal and muscle artifact, together with a quantification of the visual-cue leakage that a commonly used epoch window introduces (52–56 % from the cue period alone).</w:t>
      </w:r>
    </w:p>
    <w:p>
      <w:pPr>
        <w:pStyle w:val="ListNumber"/>
      </w:pPr>
      <w:r>
        <w:rPr/>
        <w:t>A motor-execution positive control that validates the screens rather than assuming them: the same criteria classify executed movement as non-cortical, and an independent post-movement beta-rebound test agrees. The control also excludes recording failure as an explanation of the null, and yields a single mechanism — dominance by peripheral and global signals — that accounts for every accuracy reported here.</w:t>
      </w:r>
    </w:p>
    <w:p>
      <w:pPr>
        <w:pBdr>
          <w:bottom w:val="single" w:sz="6" w:color="BBBBBB"/>
        </w:pBdr>
      </w:pPr>
    </w:p>
    <w:p>
      <w:pPr>
        <w:pStyle w:val="Heading2"/>
        <w:spacing w:before="280" w:after="80"/>
      </w:pPr>
      <w:r>
        <w:rPr>
          <w:rFonts w:ascii="Times New Roman" w:hAnsi="Times New Roman"/>
          <w:color w:val="1F2328"/>
          <w:sz w:val="28"/>
        </w:rPr>
        <w:t>II. Methods</w:t>
      </w:r>
    </w:p>
    <w:p>
      <w:pPr>
        <w:pStyle w:val="Heading3"/>
        <w:spacing w:before="200" w:after="80"/>
      </w:pPr>
      <w:r>
        <w:rPr>
          <w:rFonts w:ascii="Times New Roman" w:hAnsi="Times New Roman"/>
          <w:color w:val="1F2328"/>
          <w:sz w:val="23"/>
        </w:rPr>
        <w:t>A. Participants and ethics</w:t>
      </w:r>
    </w:p>
    <w:p>
      <w:pPr>
        <w:jc w:val="both"/>
      </w:pPr>
      <w:r>
        <w:rPr/>
        <w:t>Ten participants ⟨age, sex, handedness⟩. ⟨Ethics approval body and number.⟩ All gave written informed consent.</w:t>
      </w:r>
    </w:p>
    <w:p>
      <w:pPr>
        <w:pStyle w:val="Heading3"/>
        <w:spacing w:before="200" w:after="80"/>
      </w:pPr>
      <w:r>
        <w:rPr>
          <w:rFonts w:ascii="Times New Roman" w:hAnsi="Times New Roman"/>
          <w:color w:val="1F2328"/>
          <w:sz w:val="23"/>
        </w:rPr>
        <w:t>B. Paradigm</w:t>
      </w:r>
    </w:p>
    <w:p>
      <w:pPr>
        <w:jc w:val="both"/>
      </w:pPr>
      <w:r>
        <w:rPr/>
        <w:t xml:space="preserve">Three conditions were cued in randomised order: </w:t>
      </w:r>
      <w:r>
        <w:rPr>
          <w:b/>
        </w:rPr>
        <w:t>Rest</w:t>
      </w:r>
      <w:r>
        <w:rPr/>
        <w:t xml:space="preserve"> (fixate the monitor, imagine nothing), </w:t>
      </w:r>
      <w:r>
        <w:rPr>
          <w:b/>
        </w:rPr>
        <w:t>Stand</w:t>
      </w:r>
      <w:r>
        <w:rPr/>
        <w:t xml:space="preserve"> (imagine standing up), and </w:t>
      </w:r>
      <w:r>
        <w:rPr>
          <w:b/>
        </w:rPr>
        <w:t>Walk</w:t>
      </w:r>
      <w:r>
        <w:rPr/>
        <w:t xml:space="preserve"> (imagine two steps, beginning with a right-foot step and a left-arm swing — the compound-limbs element adopted from [1]).</w:t>
      </w:r>
    </w:p>
    <w:p>
      <w:pPr>
        <w:jc w:val="both"/>
      </w:pPr>
      <w:r>
        <w:rPr/>
        <w:t>Each trial comprised a 3.0 s fixation screen, a 2.0 s class-specific cue, and a 5.0 s imagery period on a blank white screen initiated by a 1 s beep. Fifty trials per class were collected per participant (150 total). Marker structure and timing were verified identical across all thirteen recording files (three participants' recordings were interrupted and restarted, giving two files 34–46 min apart on the same day with the cap left in place; trials were selected by pre-specified keep-rules and are class-balanced within every run) [</w:t>
      </w:r>
      <w:r>
        <w:rPr>
          <w:rFonts w:ascii="Consolas" w:hAnsi="Consolas"/>
          <w:sz w:val="18"/>
        </w:rPr>
        <w:t>steam_io.py</w:t>
      </w:r>
      <w:r>
        <w:rPr/>
        <w:t>].</w:t>
      </w:r>
    </w:p>
    <w:p>
      <w:pPr>
        <w:jc w:val="both"/>
      </w:pPr>
      <w:r>
        <w:rPr/>
        <w:t xml:space="preserve">Critically, the </w:t>
      </w:r>
      <w:r>
        <w:rPr>
          <w:b/>
        </w:rPr>
        <w:t>Rest condition is visually identical to the imagery conditions</w:t>
      </w:r>
      <w:r>
        <w:rPr/>
        <w:t xml:space="preserve"> — same duration, same blank screen, same beep, same preceding cue — with only the imagery removed. This permits a manipulation check that the reference paradigm, which has no rest class, cannot perform.</w:t>
      </w:r>
    </w:p>
    <w:p>
      <w:pPr>
        <w:jc w:val="center"/>
      </w:pPr>
      <w:r>
        <w:drawing>
          <wp:inline xmlns:a="http://schemas.openxmlformats.org/drawingml/2006/main" xmlns:pic="http://schemas.openxmlformats.org/drawingml/2006/picture">
            <wp:extent cx="5852160" cy="2323034"/>
            <wp:docPr id="1" name="Picture 1"/>
            <wp:cNvGraphicFramePr>
              <a:graphicFrameLocks noChangeAspect="1"/>
            </wp:cNvGraphicFramePr>
            <a:graphic>
              <a:graphicData uri="http://schemas.openxmlformats.org/drawingml/2006/picture">
                <pic:pic>
                  <pic:nvPicPr>
                    <pic:cNvPr id="0" name="fig_paradigm.png"/>
                    <pic:cNvPicPr/>
                  </pic:nvPicPr>
                  <pic:blipFill>
                    <a:blip r:embed="rId9"/>
                    <a:stretch>
                      <a:fillRect/>
                    </a:stretch>
                  </pic:blipFill>
                  <pic:spPr>
                    <a:xfrm>
                      <a:off x="0" y="0"/>
                      <a:ext cx="5852160" cy="2323034"/>
                    </a:xfrm>
                    <a:prstGeom prst="rect"/>
                  </pic:spPr>
                </pic:pic>
              </a:graphicData>
            </a:graphic>
          </wp:inline>
        </w:drawing>
      </w:r>
    </w:p>
    <w:p>
      <w:pPr>
        <w:jc w:val="both"/>
      </w:pPr>
      <w:r>
        <w:rPr>
          <w:b/>
        </w:rPr>
        <w:t>Fig. 1.</w:t>
      </w:r>
      <w:r>
        <w:rPr/>
        <w:t xml:space="preserve"> Trial structure. 3.00 s fixation → 2.00 s class-specific cue → 5.00 s imagery on a blank screen. Redrawn from the PsychoPy builder flow and confirmed against the recorded timing (±0.02 s across thirteen files). Only the cue differs between classes; the imagery screen is identical for all three, which is what makes Rest a visually matched baseline. Time is referenced to imagery onset.</w:t>
      </w:r>
    </w:p>
    <w:p>
      <w:pPr>
        <w:pStyle w:val="Heading3"/>
        <w:spacing w:before="200" w:after="80"/>
      </w:pPr>
      <w:r>
        <w:rPr>
          <w:rFonts w:ascii="Times New Roman" w:hAnsi="Times New Roman"/>
          <w:color w:val="1F2328"/>
          <w:sz w:val="23"/>
        </w:rPr>
        <w:t>C. Recording</w:t>
      </w:r>
    </w:p>
    <w:p>
      <w:pPr>
        <w:jc w:val="both"/>
      </w:pPr>
      <w:r>
        <w:rPr/>
        <w:t>Bitbrain Versatile 8-channel, water-based semi-dry sensors with active shielding, at FC3, FC4, C3, C4, Cz, CP3, CP4 and CPz, referenced to the left earlobe (A1), 256 Hz, recorded via LSL to XDF alongside the PsychoPy marker stream. No EOG or EMG channels were recorded and no electromagnetic shielding was used.</w:t>
      </w:r>
    </w:p>
    <w:p>
      <w:pPr>
        <w:jc w:val="both"/>
      </w:pPr>
      <w:r>
        <w:rPr/>
        <w:t>Two instrument properties bear on the analysis. First, the 8-channel configuration has an analogue bandwidth of DC–40 Hz with a third-order low-pass, so bands extending past 40 Hz are measured through instrumental attenuation; this is not stated in the manufacturer's reference guide, and we confirmed it in the recordings, where spectral power falls at −7.6 dB/octave between 20 and 40 Hz but −15.8 dB/octave between 40 and 80 Hz [Fig. 16]. Only the M4 artifact index of Section II-G reaches into that region. Second, the manufacturer defines no numeric impedance threshold for a water-based system — sensor quality is verified qualitatively before recording using the device's own signal-quality indicator — so we cannot report impedances in kΩ as a gel-based montage would, and note this as a reproducibility limitation rather than an omitted criterion.</w:t>
      </w:r>
    </w:p>
    <w:p>
      <w:pPr>
        <w:pStyle w:val="Heading3"/>
        <w:spacing w:before="200" w:after="80"/>
      </w:pPr>
      <w:r>
        <w:rPr>
          <w:rFonts w:ascii="Times New Roman" w:hAnsi="Times New Roman"/>
          <w:color w:val="1F2328"/>
          <w:sz w:val="23"/>
        </w:rPr>
        <w:t>D. Preprocessing</w:t>
      </w:r>
    </w:p>
    <w:p>
      <w:pPr>
        <w:jc w:val="both"/>
      </w:pPr>
      <w:r>
        <w:rPr/>
        <w:t xml:space="preserve">A 60/120 Hz notch removed mains interference. This is a necessary step, not a precaution: in the unfiltered recordings the 60 Hz line sits </w:t>
      </w:r>
      <w:r>
        <w:rPr>
          <w:b/>
        </w:rPr>
        <w:t>22 dB above its spectral neighbours</w:t>
      </w:r>
      <w:r>
        <w:rPr/>
        <w:t xml:space="preserve"> and 2.5 dB above the mu-band peak itself, and the 120 Hz harmonic is still visible ~10 dB above its neighbours. Data were band-pass filtered 8–30 Hz (FIR, firwin) and epoched from </w:t>
      </w:r>
      <w:r>
        <w:rPr>
          <w:b/>
        </w:rPr>
        <w:t>+0.5 to +4.5 s</w:t>
      </w:r>
      <w:r>
        <w:rPr/>
        <w:t xml:space="preserve"> relative to imagery onset.</w:t>
      </w:r>
    </w:p>
    <w:p>
      <w:pPr>
        <w:jc w:val="both"/>
      </w:pPr>
      <w:r>
        <w:rPr/>
        <w:t xml:space="preserve">Two choices require justification. First, the epoch </w:t>
      </w:r>
      <w:r>
        <w:rPr>
          <w:b/>
        </w:rPr>
        <w:t>excludes the cue period</w:t>
      </w:r>
      <w:r>
        <w:rPr/>
        <w:t xml:space="preserve">: because the cue is a class-specific visual stimulus, any window beginning before imagery onset imports a visual evoked response. We quantify this in Results. Second, </w:t>
      </w:r>
      <w:r>
        <w:rPr>
          <w:b/>
        </w:rPr>
        <w:t>no re-referencing was applied</w:t>
      </w:r>
      <w:r>
        <w:rPr/>
        <w:t xml:space="preserve">. Common average referencing was tested and was 1.1 points </w:t>
      </w:r>
      <w:r>
        <w:rPr>
          <w:i/>
        </w:rPr>
        <w:t>worse</w:t>
      </w:r>
      <w:r>
        <w:rPr/>
        <w:t>; with eight electrodes all positioned over sensorimotor cortex, the common average contains signal rather than only noise [</w:t>
      </w:r>
      <w:r>
        <w:rPr>
          <w:rFonts w:ascii="Consolas" w:hAnsi="Consolas"/>
          <w:sz w:val="18"/>
        </w:rPr>
        <w:t>run_sweep.py</w:t>
      </w:r>
      <w:r>
        <w:rPr/>
        <w:t>].</w:t>
      </w:r>
    </w:p>
    <w:p>
      <w:pPr>
        <w:jc w:val="both"/>
      </w:pPr>
      <w:r>
        <w:rPr/>
        <w:t>Trials were rejected if any channel showed clipping at the amplifier rails or a log-variance exceeding 5 robust standard deviations from that channel's median (0–8 trials rejected per participant). Amplifier saturation was present in several recordings but fell entirely within the between-block rest periods; no clipped sample occurred inside a task epoch [</w:t>
      </w:r>
      <w:r>
        <w:rPr>
          <w:rFonts w:ascii="Consolas" w:hAnsi="Consolas"/>
          <w:sz w:val="18"/>
        </w:rPr>
        <w:t>01_diagnose.py</w:t>
      </w:r>
      <w:r>
        <w:rPr/>
        <w:t>].</w:t>
      </w:r>
    </w:p>
    <w:p>
      <w:pPr>
        <w:pStyle w:val="Heading3"/>
        <w:spacing w:before="200" w:after="80"/>
      </w:pPr>
      <w:r>
        <w:rPr>
          <w:rFonts w:ascii="Times New Roman" w:hAnsi="Times New Roman"/>
          <w:color w:val="1F2328"/>
          <w:sz w:val="23"/>
        </w:rPr>
        <w:t>E. Decoding pipeline, and why it takes this form</w:t>
      </w:r>
    </w:p>
    <w:p>
      <w:pPr>
        <w:jc w:val="both"/>
      </w:pPr>
      <w:r>
        <w:rPr/>
        <w:t>The pipeline is derived from properties of the recording rather than selected by benchmark performance. Fig. 2 summarises it, with the data shape and the justification at each stage, and marks the boundary of what is refit inside the cross-validation training fold.</w:t>
      </w:r>
    </w:p>
    <w:p>
      <w:pPr>
        <w:jc w:val="both"/>
      </w:pPr>
      <w:r>
        <w:rPr/>
        <w:t xml:space="preserve">Motor imagery does not produce a time-locked evoked potential; it modulates the </w:t>
      </w:r>
      <w:r>
        <w:rPr>
          <w:i/>
        </w:rPr>
        <w:t>amplitude</w:t>
      </w:r>
      <w:r>
        <w:rPr/>
        <w:t xml:space="preserve"> of ongoing sensorimotor rhythms [4]. The discriminative information therefore lies in how band-limited power is distributed across electrodes — that is, in the </w:t>
      </w:r>
      <w:r>
        <w:rPr>
          <w:b/>
        </w:rPr>
        <w:t>spatial covariance of band-filtered signals</w:t>
      </w:r>
      <w:r>
        <w:rPr/>
        <w:t>. Per-channel band power discards the cross-channel structure that carries source orientation and depth; raw time-series models must learn the spatial and spectral filtering from data, which at ~50 trials per class means more parameters than independent examples.</w:t>
      </w:r>
    </w:p>
    <w:p>
      <w:pPr>
        <w:jc w:val="both"/>
      </w:pPr>
      <w:r>
        <w:rPr/>
        <w:t xml:space="preserve">Covariance matrices are symmetric positive-definite and lie on a curved manifold. Euclidean operations on them distort distances, most severely where the matrices are poorly conditioned — precisely the small-trial regime here. We therefore project to the </w:t>
      </w:r>
      <w:r>
        <w:rPr>
          <w:b/>
        </w:rPr>
        <w:t>tangent space at the Riemannian mean</w:t>
      </w:r>
      <w:r>
        <w:rPr/>
        <w:t xml:space="preserve"> [6], after which a linear classifier is geometrically valid.</w:t>
      </w:r>
    </w:p>
    <w:p>
      <w:pPr>
        <w:jc w:val="both"/>
      </w:pPr>
      <w:r>
        <w:rPr/>
        <w:t xml:space="preserve">Single-participant channel × frequency maps show the discriminative ridge to be approximately 2 Hz wide with a centre varying between 9 and 16 Hz across participants. A single 8–30 Hz covariance averages this away, so the signal is decomposed into </w:t>
      </w:r>
      <w:r>
        <w:rPr>
          <w:b/>
        </w:rPr>
        <w:t>ten overlapping 4 Hz bands (2 Hz hop, 8–30 Hz)</w:t>
      </w:r>
      <w:r>
        <w:rPr/>
        <w:t xml:space="preserve"> and the band weighting is learned per participant inside the training fold.</w:t>
      </w:r>
    </w:p>
    <w:p>
      <w:pPr>
        <w:jc w:val="both"/>
      </w:pPr>
      <w:r>
        <w:rPr/>
        <w:t xml:space="preserve">The upper limit of 30 Hz reduces, but does not eliminate, muscle contamination. Goncharova </w:t>
      </w:r>
      <w:r>
        <w:rPr>
          <w:i/>
        </w:rPr>
        <w:t>et al.</w:t>
      </w:r>
      <w:r>
        <w:rPr/>
        <w:t xml:space="preserve"> [9] report that the topographic spread of scalp EMG "grows as frequency rises, and is greatest above 40 Hz", so a 30 Hz ceiling excludes the range where contamination is most widespread. It does not make the passband clean: the same study finds frontalis EMG amplitude "greatest at 20–30 Hz frontally", identifies a 20–30 Hz component they call the EMG beta rhythm, and concludes that "even weak contractions can produce EMG that obscures or mimics EEG alpha, mu, or beta rhythms over the entire scalp". The analysis band therefore overlaps a genuine EMG component, which is precisely why decoding accuracy inside 8–30 Hz cannot by itself be taken as cortical, and why the physiological screens of Section II-G are necessary rather than optional. We demonstrate EMG presence in this dataset in Results.</w:t>
      </w:r>
    </w:p>
    <w:p>
      <w:pPr>
        <w:jc w:val="both"/>
      </w:pPr>
      <w:r>
        <w:rPr/>
        <w:t xml:space="preserve">The resulting 360 tangent-space features against ~100 trials are classified by </w:t>
      </w:r>
      <w:r>
        <w:rPr>
          <w:b/>
        </w:rPr>
        <w:t>L2-regularised logistic regression</w:t>
      </w:r>
      <w:r>
        <w:rPr/>
        <w:t>. A linear model keeps weights traceable to specific electrode pairs and frequencies, which is what makes the physiological screens in Section III-E possible.</w:t>
      </w:r>
    </w:p>
    <w:p>
      <w:pPr>
        <w:jc w:val="both"/>
      </w:pPr>
      <w:r>
        <w:rPr/>
        <w:t xml:space="preserve">This pipeline is denoted </w:t>
      </w:r>
      <w:r>
        <w:rPr>
          <w:rFonts w:ascii="Consolas" w:hAnsi="Consolas"/>
          <w:sz w:val="18"/>
        </w:rPr>
        <w:t>fb_ts_lr</w:t>
      </w:r>
      <w:r>
        <w:rPr/>
        <w:t>. Eighteen further pipelines — CSP+LDA, CSP+SVM, MDM, FgMDM, tangent-space variants, time-delay (CSSP-style) covariances, windowed covariances, three FBCSP variants [5] (per-band CSP followed by mutual-information-based best-individual-feature selection, with LDA, SVM and random-forest classifiers), crop ensembles [10], and EEGNet-8,2 [7] — were implemented for comparison [</w:t>
      </w:r>
      <w:r>
        <w:rPr>
          <w:rFonts w:ascii="Consolas" w:hAnsi="Consolas"/>
          <w:sz w:val="18"/>
        </w:rPr>
        <w:t>decoders.py</w:t>
      </w:r>
      <w:r>
        <w:rPr/>
        <w:t xml:space="preserve">, </w:t>
      </w:r>
      <w:r>
        <w:rPr>
          <w:rFonts w:ascii="Consolas" w:hAnsi="Consolas"/>
          <w:sz w:val="18"/>
        </w:rPr>
        <w:t>eegnet.py</w:t>
      </w:r>
      <w:r>
        <w:rPr/>
        <w:t>].</w:t>
      </w:r>
    </w:p>
    <w:p>
      <w:pPr>
        <w:jc w:val="center"/>
      </w:pPr>
      <w:r>
        <w:drawing>
          <wp:inline xmlns:a="http://schemas.openxmlformats.org/drawingml/2006/main" xmlns:pic="http://schemas.openxmlformats.org/drawingml/2006/picture">
            <wp:extent cx="5852160" cy="1532495"/>
            <wp:docPr id="2" name="Picture 2"/>
            <wp:cNvGraphicFramePr>
              <a:graphicFrameLocks noChangeAspect="1"/>
            </wp:cNvGraphicFramePr>
            <a:graphic>
              <a:graphicData uri="http://schemas.openxmlformats.org/drawingml/2006/picture">
                <pic:pic>
                  <pic:nvPicPr>
                    <pic:cNvPr id="0" name="fig_pipeline.png"/>
                    <pic:cNvPicPr/>
                  </pic:nvPicPr>
                  <pic:blipFill>
                    <a:blip r:embed="rId10"/>
                    <a:stretch>
                      <a:fillRect/>
                    </a:stretch>
                  </pic:blipFill>
                  <pic:spPr>
                    <a:xfrm>
                      <a:off x="0" y="0"/>
                      <a:ext cx="5852160" cy="1532495"/>
                    </a:xfrm>
                    <a:prstGeom prst="rect"/>
                  </pic:spPr>
                </pic:pic>
              </a:graphicData>
            </a:graphic>
          </wp:inline>
        </w:drawing>
      </w:r>
    </w:p>
    <w:p>
      <w:pPr>
        <w:jc w:val="both"/>
      </w:pPr>
      <w:r>
        <w:rPr>
          <w:b/>
        </w:rPr>
        <w:t>Fig. 2.</w:t>
      </w:r>
      <w:r>
        <w:rPr/>
        <w:t xml:space="preserve"> Decoding pipeline. Each stage is shown with its data shape and the property of the recording that motivates it. The shaded region marks everything refit inside the cross-validation training fold — band weighting, covariance shrinkage, tangent-space reference, scaler and classifier.</w:t>
      </w:r>
    </w:p>
    <w:p>
      <w:pPr>
        <w:pStyle w:val="Heading3"/>
        <w:spacing w:before="200" w:after="80"/>
      </w:pPr>
      <w:r>
        <w:rPr>
          <w:rFonts w:ascii="Times New Roman" w:hAnsi="Times New Roman"/>
          <w:color w:val="1F2328"/>
          <w:sz w:val="23"/>
        </w:rPr>
        <w:t>F. Evaluation protocol</w:t>
      </w:r>
    </w:p>
    <w:p>
      <w:pPr>
        <w:jc w:val="both"/>
      </w:pPr>
      <w:r>
        <w:rPr>
          <w:b/>
        </w:rPr>
        <w:t>Unit of analysis.</w:t>
      </w:r>
      <w:r>
        <w:rPr/>
        <w:t xml:space="preserve"> Every inferential test in this paper treats the </w:t>
      </w:r>
      <w:r>
        <w:rPr>
          <w:b/>
        </w:rPr>
        <w:t>participant</w:t>
      </w:r>
      <w:r>
        <w:rPr/>
        <w:t xml:space="preserve"> as the independent unit (</w:t>
      </w:r>
      <w:r>
        <w:rPr>
          <w:i/>
        </w:rPr>
        <w:t>n</w:t>
      </w:r>
      <w:r>
        <w:rPr/>
        <w:t xml:space="preserve"> = 10). Trials are nested within participants and are not independent; trial-pooled tests are reported only where explicitly labelled as descriptive. Group-level claims use one-sample or paired </w:t>
      </w:r>
      <w:r>
        <w:rPr>
          <w:i/>
        </w:rPr>
        <w:t>t</w:t>
      </w:r>
      <w:r>
        <w:rPr/>
        <w:t>-tests over the ten per-participant values, and per-participant claims use permutation nulls over that participant's own trials.</w:t>
      </w:r>
    </w:p>
    <w:p>
      <w:pPr>
        <w:jc w:val="both"/>
      </w:pPr>
      <w:r>
        <w:rPr/>
        <w:t>Three numbers are reported per participant and contrast.</w:t>
      </w:r>
    </w:p>
    <w:p>
      <w:pPr>
        <w:pStyle w:val="ListNumber"/>
      </w:pPr>
      <w:r>
        <w:rPr>
          <w:b/>
        </w:rPr>
        <w:t>Repeated stratified 5-fold CV</w:t>
      </w:r>
      <w:r>
        <w:rPr/>
        <w:t xml:space="preserve"> (5 repeats), the conventional figure.</w:t>
      </w:r>
    </w:p>
    <w:p>
      <w:pPr>
        <w:pStyle w:val="ListNumber"/>
      </w:pPr>
      <w:r>
        <w:rPr>
          <w:b/>
        </w:rPr>
        <w:t>Nested accuracy</w:t>
      </w:r>
      <w:r>
        <w:rPr/>
        <w:t>: an inner 4-fold CV selects the pipeline within each outer training fold, so the reported fold never influences model choice. With ~100 trials, selecting the best of many pipelines on the reported CV inflates accuracy by several points; the nested figure is the one we quote.</w:t>
      </w:r>
    </w:p>
    <w:p>
      <w:pPr>
        <w:pStyle w:val="ListNumber"/>
      </w:pPr>
      <w:r>
        <w:rPr>
          <w:b/>
        </w:rPr>
        <w:t>Chronological accuracy</w:t>
      </w:r>
      <w:r>
        <w:rPr/>
        <w:t>: trained on the first 60 % of trials in acquisition order and tested on the last 40 %, to detect within-session drift being learned as class information.</w:t>
      </w:r>
    </w:p>
    <w:p>
      <w:pPr>
        <w:jc w:val="both"/>
      </w:pPr>
      <w:r>
        <w:rPr/>
        <w:t>All spatial filters, tangent-space references, scalers and feature selectors are fitted inside the training fold only [</w:t>
      </w:r>
      <w:r>
        <w:rPr>
          <w:rFonts w:ascii="Consolas" w:hAnsi="Consolas"/>
          <w:sz w:val="18"/>
        </w:rPr>
        <w:t>02_final_eval.py</w:t>
      </w:r>
      <w:r>
        <w:rPr/>
        <w:t>].</w:t>
      </w:r>
    </w:p>
    <w:p>
      <w:pPr>
        <w:jc w:val="both"/>
      </w:pPr>
      <w:r>
        <w:rPr/>
        <w:t xml:space="preserve">Per-participant significance used 1000-permutation label nulls with Holm correction across the ten participants. Pipeline comparisons used the Nadeau–Bengio corrected resampled </w:t>
      </w:r>
      <w:r>
        <w:rPr>
          <w:i/>
        </w:rPr>
        <w:t>t</w:t>
      </w:r>
      <w:r>
        <w:rPr/>
        <w:t>-test [8], which corrects the variance of the cross-validation estimate for "the variability due to the choice of training sets" that overlapping resamples introduce; the uncorrected paired test is anticonservative here and is reported only to show the size of that bias [</w:t>
      </w:r>
      <w:r>
        <w:rPr>
          <w:rFonts w:ascii="Consolas" w:hAnsi="Consolas"/>
          <w:sz w:val="18"/>
        </w:rPr>
        <w:t>09_stats.py</w:t>
      </w:r>
      <w:r>
        <w:rPr/>
        <w:t>].</w:t>
      </w:r>
    </w:p>
    <w:p>
      <w:pPr>
        <w:pStyle w:val="Heading3"/>
        <w:spacing w:before="200" w:after="80"/>
      </w:pPr>
      <w:r>
        <w:rPr>
          <w:rFonts w:ascii="Times New Roman" w:hAnsi="Times New Roman"/>
          <w:color w:val="1F2328"/>
          <w:sz w:val="23"/>
        </w:rPr>
        <w:t>G. Physiological validation</w:t>
      </w:r>
    </w:p>
    <w:p>
      <w:pPr>
        <w:jc w:val="both"/>
      </w:pPr>
      <w:r>
        <w:rPr/>
        <w:t xml:space="preserve">An accuracy and a permutation </w:t>
      </w:r>
      <w:r>
        <w:rPr>
          <w:i/>
        </w:rPr>
        <w:t>p</w:t>
      </w:r>
      <w:r>
        <w:rPr/>
        <w:t xml:space="preserve">-value establish only that </w:t>
      </w:r>
      <w:r>
        <w:rPr>
          <w:i/>
        </w:rPr>
        <w:t>something</w:t>
      </w:r>
      <w:r>
        <w:rPr/>
        <w:t xml:space="preserve"> separates the conditions. To test whether that something is sensorimotor cortex, we defined four metrics from motor-imagery physiology </w:t>
      </w:r>
      <w:r>
        <w:rPr>
          <w:b/>
        </w:rPr>
        <w:t>before</w:t>
      </w:r>
      <w:r>
        <w:rPr/>
        <w:t xml:space="preserve"> examining any accuracy value [</w:t>
      </w:r>
      <w:r>
        <w:rPr>
          <w:rFonts w:ascii="Consolas" w:hAnsi="Consolas"/>
          <w:sz w:val="18"/>
        </w:rPr>
        <w:t>11_neuro_criterion.py</w:t>
      </w:r>
      <w:r>
        <w:rPr/>
        <w:t>]:</w:t>
      </w:r>
    </w:p>
    <w:p>
      <w:pPr>
        <w:pStyle w:val="ListBullet"/>
      </w:pPr>
      <w:r>
        <w:rPr>
          <w:b/>
        </w:rPr>
        <w:t>M1, spatial gradient</w:t>
      </w:r>
      <w:r>
        <w:rPr/>
        <w:t>: (max|</w:t>
      </w:r>
      <w:r>
        <w:rPr>
          <w:i/>
        </w:rPr>
        <w:t>r</w:t>
      </w:r>
      <w:r>
        <w:rPr/>
        <w:t>| − min|</w:t>
      </w:r>
      <w:r>
        <w:rPr>
          <w:i/>
        </w:rPr>
        <w:t>r</w:t>
      </w:r>
      <w:r>
        <w:rPr/>
        <w:t>|)/max|</w:t>
      </w:r>
      <w:r>
        <w:rPr>
          <w:i/>
        </w:rPr>
        <w:t>r</w:t>
      </w:r>
      <w:r>
        <w:rPr/>
        <w:t>| across electrodes, 8–30 Hz. Cortical sources project unevenly; global states do not.</w:t>
      </w:r>
    </w:p>
    <w:p>
      <w:pPr>
        <w:pStyle w:val="ListBullet"/>
      </w:pPr>
      <w:r>
        <w:rPr>
          <w:b/>
        </w:rPr>
        <w:t>M2, rhythm specificity</w:t>
      </w:r>
      <w:r>
        <w:rPr/>
        <w:t xml:space="preserve">: mean </w:t>
      </w:r>
      <w:r>
        <w:rPr>
          <w:i/>
        </w:rPr>
        <w:t>r</w:t>
      </w:r>
      <w:r>
        <w:rPr/>
        <w:t xml:space="preserve">² in 8–30 Hz divided by mean </w:t>
      </w:r>
      <w:r>
        <w:rPr>
          <w:i/>
        </w:rPr>
        <w:t>r</w:t>
      </w:r>
      <w:r>
        <w:rPr/>
        <w:t>² in 2–8 and 30–45 Hz. There is no sensorimotor rhythm outside mu/beta.</w:t>
      </w:r>
    </w:p>
    <w:p>
      <w:pPr>
        <w:pStyle w:val="ListBullet"/>
      </w:pPr>
      <w:r>
        <w:rPr>
          <w:b/>
        </w:rPr>
        <w:t>M3, central focus</w:t>
      </w:r>
      <w:r>
        <w:rPr/>
        <w:t>: mean|</w:t>
      </w:r>
      <w:r>
        <w:rPr>
          <w:i/>
        </w:rPr>
        <w:t>r</w:t>
      </w:r>
      <w:r>
        <w:rPr/>
        <w:t>| over {Cz, CPz, C3, C4, CP3, CP4} divided by mean|</w:t>
      </w:r>
      <w:r>
        <w:rPr>
          <w:i/>
        </w:rPr>
        <w:t>r</w:t>
      </w:r>
      <w:r>
        <w:rPr/>
        <w:t>| over {FC3, FC4}. Foot representation is medial.</w:t>
      </w:r>
    </w:p>
    <w:p>
      <w:pPr>
        <w:pStyle w:val="ListBullet"/>
      </w:pPr>
      <w:r>
        <w:rPr>
          <w:b/>
        </w:rPr>
        <w:t>M4, EMG ratio</w:t>
      </w:r>
      <w:r>
        <w:rPr/>
        <w:t>: mean|</w:t>
      </w:r>
      <w:r>
        <w:rPr>
          <w:i/>
        </w:rPr>
        <w:t>r</w:t>
      </w:r>
      <w:r>
        <w:rPr/>
        <w:t>| in 30–45 Hz over mean|</w:t>
      </w:r>
      <w:r>
        <w:rPr>
          <w:i/>
        </w:rPr>
        <w:t>r</w:t>
      </w:r>
      <w:r>
        <w:rPr/>
        <w:t xml:space="preserve">| in 8–30 Hz. Two qualifications apply. Because EMG also has a 20–30 Hz component [9], a low M4 does not certify an EMG-free signal, only a spectrum weighted away from the range where muscle dominates. And because the amplifier's analogue bandwidth is DC–40 Hz (Section II-C), the 30–45 Hz numerator lies partly in the third-order roll-off and is attenuated by the instrument. M4 is therefore valid as a </w:t>
      </w:r>
      <w:r>
        <w:rPr>
          <w:i/>
        </w:rPr>
        <w:t>relative</w:t>
      </w:r>
      <w:r>
        <w:rPr/>
        <w:t xml:space="preserve"> index across participants, who share the same hardware, but its absolute magnitude understates the true high-frequency content — which makes any positive M4 finding conservative.</w:t>
      </w:r>
    </w:p>
    <w:p>
      <w:pPr>
        <w:jc w:val="both"/>
      </w:pPr>
      <w:r>
        <w:rPr/>
        <w:t>Prespecified prediction: if separability is neural, accuracy correlates positively with M1–M3 and negatively with M4.</w:t>
      </w:r>
    </w:p>
    <w:p>
      <w:pPr>
        <w:jc w:val="both"/>
      </w:pPr>
      <w:r>
        <w:rPr/>
        <w:t xml:space="preserve">We additionally used the visually matched Rest condition as a baseline for a </w:t>
      </w:r>
      <w:r>
        <w:rPr>
          <w:b/>
        </w:rPr>
        <w:t>manipulation check</w:t>
      </w:r>
      <w:r>
        <w:rPr/>
        <w:t xml:space="preserve"> — motor imagery should desynchronise mu/beta relative to it [</w:t>
      </w:r>
      <w:r>
        <w:rPr>
          <w:rFonts w:ascii="Consolas" w:hAnsi="Consolas"/>
          <w:sz w:val="18"/>
        </w:rPr>
        <w:t>12_manipulation_check.py</w:t>
      </w:r>
      <w:r>
        <w:rPr/>
        <w:t>] — and tested the compound-limbs mechanism directly via a laterality index (right-hemisphere {FC4,C4,CP4} over left-hemisphere {FC3,C3,CP3} band power).</w:t>
      </w:r>
    </w:p>
    <w:p>
      <w:pPr>
        <w:pBdr>
          <w:bottom w:val="single" w:sz="6" w:color="BBBBBB"/>
        </w:pBdr>
      </w:pPr>
    </w:p>
    <w:p>
      <w:pPr>
        <w:pStyle w:val="Heading2"/>
        <w:spacing w:before="280" w:after="80"/>
      </w:pPr>
      <w:r>
        <w:rPr>
          <w:rFonts w:ascii="Times New Roman" w:hAnsi="Times New Roman"/>
          <w:color w:val="1F2328"/>
          <w:sz w:val="28"/>
        </w:rPr>
        <w:t>III. Results</w:t>
      </w:r>
    </w:p>
    <w:p>
      <w:pPr>
        <w:pStyle w:val="Heading3"/>
        <w:spacing w:before="200" w:after="80"/>
      </w:pPr>
      <w:r>
        <w:rPr>
          <w:rFonts w:ascii="Times New Roman" w:hAnsi="Times New Roman"/>
          <w:color w:val="1F2328"/>
          <w:sz w:val="23"/>
        </w:rPr>
        <w:t>A. Protocol verification</w:t>
      </w:r>
    </w:p>
    <w:p>
      <w:pPr>
        <w:jc w:val="both"/>
      </w:pPr>
      <w:r>
        <w:rPr/>
        <w:t>Marker structure was identical across all thirteen files: 150 fixation markers and 50 each of the nine trial markers per session, with screen durations of 3.00, 2.00 and 5.00 s (inter-file range ±0.02 s). Class balance was exact within every run, including the three participants whose trials span two recording files [</w:t>
      </w:r>
      <w:r>
        <w:rPr>
          <w:rFonts w:ascii="Consolas" w:hAnsi="Consolas"/>
          <w:sz w:val="18"/>
        </w:rPr>
        <w:t>steam_io.py</w:t>
      </w:r>
      <w:r>
        <w:rPr/>
        <w:t>].</w:t>
      </w:r>
    </w:p>
    <w:p>
      <w:pPr>
        <w:pStyle w:val="Heading3"/>
        <w:spacing w:before="200" w:after="80"/>
      </w:pPr>
      <w:r>
        <w:rPr>
          <w:rFonts w:ascii="Times New Roman" w:hAnsi="Times New Roman"/>
          <w:color w:val="1F2328"/>
          <w:sz w:val="23"/>
        </w:rPr>
        <w:t>B. Decoding accuracy</w:t>
      </w:r>
    </w:p>
    <w:p>
      <w:pPr>
        <w:jc w:val="both"/>
      </w:pPr>
      <w:r>
        <w:rPr/>
        <w:t>Fig. 3 summarises the four results that follow.</w:t>
      </w:r>
    </w:p>
    <w:p>
      <w:pPr>
        <w:jc w:val="center"/>
      </w:pPr>
      <w:r>
        <w:drawing>
          <wp:inline xmlns:a="http://schemas.openxmlformats.org/drawingml/2006/main" xmlns:pic="http://schemas.openxmlformats.org/drawingml/2006/picture">
            <wp:extent cx="5852160" cy="4153710"/>
            <wp:docPr id="3" name="Picture 3"/>
            <wp:cNvGraphicFramePr>
              <a:graphicFrameLocks noChangeAspect="1"/>
            </wp:cNvGraphicFramePr>
            <a:graphic>
              <a:graphicData uri="http://schemas.openxmlformats.org/drawingml/2006/picture">
                <pic:pic>
                  <pic:nvPicPr>
                    <pic:cNvPr id="0" name="fig_summary.png"/>
                    <pic:cNvPicPr/>
                  </pic:nvPicPr>
                  <pic:blipFill>
                    <a:blip r:embed="rId11"/>
                    <a:stretch>
                      <a:fillRect/>
                    </a:stretch>
                  </pic:blipFill>
                  <pic:spPr>
                    <a:xfrm>
                      <a:off x="0" y="0"/>
                      <a:ext cx="5852160" cy="4153710"/>
                    </a:xfrm>
                    <a:prstGeom prst="rect"/>
                  </pic:spPr>
                </pic:pic>
              </a:graphicData>
            </a:graphic>
          </wp:inline>
        </w:drawing>
      </w:r>
    </w:p>
    <w:p>
      <w:pPr>
        <w:jc w:val="both"/>
      </w:pPr>
      <w:r>
        <w:rPr>
          <w:b/>
        </w:rPr>
        <w:t>Fig. 3.</w:t>
      </w:r>
      <w:r>
        <w:rPr/>
        <w:t xml:space="preserve"> (A) Nested accuracy per contrast; bars are group means, open circles individual participants, dotted lines chance, and </w:t>
      </w:r>
      <w:r>
        <w:rPr>
          <w:i/>
        </w:rPr>
        <w:t>n</w:t>
      </w:r>
      <w:r>
        <w:rPr/>
        <w:t>/10 the number of participants individually significant against a permutation null. (B) Stand vs Walk per participant: nested accuracy (solid) inside the best-of-840-configurations bound obtained by scoring each participant's best configuration on the folds being reported (pale). Even under that optimistic procedure the bound remains close to chance. (C) Ceiling curves — accuracy against training trials per class, with electrodes inset. (D) Band ablation for the single individually significant participant: delta/theta and gamma, which contain no sensorimotor rhythm, decode as well as mu and beta, indicating a broadband state difference rather than SMR.</w:t>
      </w:r>
    </w:p>
    <w:p>
      <w:pPr>
        <w:jc w:val="both"/>
      </w:pPr>
      <w:r>
        <w:rPr>
          <w:b/>
        </w:rPr>
        <w:t>TABLE I — Nested cross-validated accuracy, mean ± SD across ten participants</w:t>
      </w:r>
      <w:r>
        <w:rPr/>
        <w:t xml:space="preserve"> [</w:t>
      </w:r>
      <w:r>
        <w:rPr>
          <w:rFonts w:ascii="Consolas" w:hAnsi="Consolas"/>
          <w:sz w:val="18"/>
        </w:rPr>
        <w:t>02_final_eval.py</w:t>
      </w:r>
      <w:r>
        <w:rPr/>
        <w:t>]</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17"/>
            <w:shd w:val="clear" w:fill="EEF2F7"/>
          </w:tcPr>
          <w:p>
            <w:pPr>
              <w:spacing w:before="20" w:after="20"/>
            </w:pPr>
            <w:r>
              <w:rPr>
                <w:rFonts w:ascii="Times New Roman" w:hAnsi="Times New Roman"/>
                <w:b/>
                <w:sz w:val="17"/>
              </w:rPr>
            </w:r>
            <w:r>
              <w:rPr>
                <w:rFonts w:ascii="Times New Roman" w:hAnsi="Times New Roman"/>
                <w:b/>
                <w:sz w:val="17"/>
              </w:rPr>
              <w:t>Contrast</w:t>
            </w:r>
          </w:p>
        </w:tc>
        <w:tc>
          <w:tcPr>
            <w:tcW w:type="dxa" w:w="1317"/>
            <w:shd w:val="clear" w:fill="EEF2F7"/>
          </w:tcPr>
          <w:p>
            <w:pPr>
              <w:spacing w:before="20" w:after="20"/>
            </w:pPr>
            <w:r>
              <w:rPr>
                <w:rFonts w:ascii="Times New Roman" w:hAnsi="Times New Roman"/>
                <w:b/>
                <w:sz w:val="17"/>
              </w:rPr>
            </w:r>
            <w:r>
              <w:rPr>
                <w:rFonts w:ascii="Times New Roman" w:hAnsi="Times New Roman"/>
                <w:b/>
                <w:sz w:val="17"/>
              </w:rPr>
              <w:t>Accuracy</w:t>
            </w:r>
          </w:p>
        </w:tc>
        <w:tc>
          <w:tcPr>
            <w:tcW w:type="dxa" w:w="1317"/>
            <w:shd w:val="clear" w:fill="EEF2F7"/>
          </w:tcPr>
          <w:p>
            <w:pPr>
              <w:spacing w:before="20" w:after="20"/>
            </w:pPr>
            <w:r>
              <w:rPr>
                <w:rFonts w:ascii="Times New Roman" w:hAnsi="Times New Roman"/>
                <w:b/>
                <w:sz w:val="17"/>
              </w:rPr>
            </w:r>
            <w:r>
              <w:rPr>
                <w:rFonts w:ascii="Times New Roman" w:hAnsi="Times New Roman"/>
                <w:b/>
                <w:sz w:val="17"/>
              </w:rPr>
              <w:t>Chance</w:t>
            </w:r>
          </w:p>
        </w:tc>
        <w:tc>
          <w:tcPr>
            <w:tcW w:type="dxa" w:w="1317"/>
            <w:shd w:val="clear" w:fill="EEF2F7"/>
          </w:tcPr>
          <w:p>
            <w:pPr>
              <w:spacing w:before="20" w:after="20"/>
            </w:pPr>
            <w:r>
              <w:rPr>
                <w:rFonts w:ascii="Times New Roman" w:hAnsi="Times New Roman"/>
                <w:b/>
                <w:sz w:val="17"/>
              </w:rPr>
            </w:r>
            <w:r>
              <w:rPr>
                <w:rFonts w:ascii="Times New Roman" w:hAnsi="Times New Roman"/>
                <w:b/>
                <w:sz w:val="17"/>
              </w:rPr>
              <w:t>Range</w:t>
            </w:r>
          </w:p>
        </w:tc>
        <w:tc>
          <w:tcPr>
            <w:tcW w:type="dxa" w:w="1317"/>
            <w:shd w:val="clear" w:fill="EEF2F7"/>
          </w:tcPr>
          <w:p>
            <w:pPr>
              <w:spacing w:before="20" w:after="20"/>
            </w:pPr>
            <w:r>
              <w:rPr>
                <w:rFonts w:ascii="Times New Roman" w:hAnsi="Times New Roman"/>
                <w:b/>
                <w:sz w:val="17"/>
              </w:rPr>
            </w:r>
            <w:r>
              <w:rPr>
                <w:rFonts w:ascii="Times New Roman" w:hAnsi="Times New Roman"/>
                <w:b/>
                <w:sz w:val="17"/>
              </w:rPr>
              <w:t>95 % CI</w:t>
            </w:r>
          </w:p>
        </w:tc>
        <w:tc>
          <w:tcPr>
            <w:tcW w:type="dxa" w:w="1317"/>
            <w:shd w:val="clear" w:fill="EEF2F7"/>
          </w:tcPr>
          <w:p>
            <w:pPr>
              <w:spacing w:before="20" w:after="20"/>
            </w:pPr>
            <w:r>
              <w:rPr>
                <w:rFonts w:ascii="Times New Roman" w:hAnsi="Times New Roman"/>
                <w:b/>
                <w:sz w:val="17"/>
              </w:rPr>
            </w:r>
            <w:r>
              <w:rPr>
                <w:rFonts w:ascii="Times New Roman" w:hAnsi="Times New Roman"/>
                <w:b/>
                <w:i/>
                <w:sz w:val="17"/>
              </w:rPr>
              <w:t>t</w:t>
            </w:r>
            <w:r>
              <w:rPr>
                <w:rFonts w:ascii="Times New Roman" w:hAnsi="Times New Roman"/>
                <w:b/>
                <w:sz w:val="17"/>
              </w:rPr>
              <w:t>(9) vs chance</w:t>
            </w:r>
          </w:p>
        </w:tc>
        <w:tc>
          <w:tcPr>
            <w:tcW w:type="dxa" w:w="1317"/>
            <w:shd w:val="clear" w:fill="EEF2F7"/>
          </w:tcPr>
          <w:p>
            <w:pPr>
              <w:spacing w:before="20" w:after="20"/>
            </w:pPr>
            <w:r>
              <w:rPr>
                <w:rFonts w:ascii="Times New Roman" w:hAnsi="Times New Roman"/>
                <w:b/>
                <w:sz w:val="17"/>
              </w:rPr>
            </w:r>
            <w:r>
              <w:rPr>
                <w:rFonts w:ascii="Times New Roman" w:hAnsi="Times New Roman"/>
                <w:b/>
                <w:i/>
                <w:sz w:val="17"/>
              </w:rPr>
              <w:t>d</w:t>
            </w:r>
          </w:p>
        </w:tc>
      </w:tr>
      <w:tr>
        <w:tc>
          <w:tcPr>
            <w:tcW w:type="dxa" w:w="1317"/>
          </w:tcPr>
          <w:p>
            <w:pPr>
              <w:spacing w:before="20" w:after="20"/>
            </w:pPr>
            <w:r>
              <w:rPr>
                <w:rFonts w:ascii="Times New Roman" w:hAnsi="Times New Roman"/>
                <w:sz w:val="17"/>
              </w:rPr>
            </w:r>
            <w:r>
              <w:rPr>
                <w:rFonts w:ascii="Times New Roman" w:hAnsi="Times New Roman"/>
                <w:sz w:val="17"/>
              </w:rPr>
              <w:t>Rest vs Stand</w:t>
            </w:r>
          </w:p>
        </w:tc>
        <w:tc>
          <w:tcPr>
            <w:tcW w:type="dxa" w:w="1317"/>
          </w:tcPr>
          <w:p>
            <w:pPr>
              <w:spacing w:before="20" w:after="20"/>
            </w:pPr>
            <w:r>
              <w:rPr>
                <w:rFonts w:ascii="Times New Roman" w:hAnsi="Times New Roman"/>
                <w:sz w:val="17"/>
              </w:rPr>
            </w:r>
            <w:r>
              <w:rPr>
                <w:rFonts w:ascii="Times New Roman" w:hAnsi="Times New Roman"/>
                <w:sz w:val="17"/>
              </w:rPr>
              <w:t>65.8 ± 12.1 %</w:t>
            </w:r>
          </w:p>
        </w:tc>
        <w:tc>
          <w:tcPr>
            <w:tcW w:type="dxa" w:w="1317"/>
          </w:tcPr>
          <w:p>
            <w:pPr>
              <w:spacing w:before="20" w:after="20"/>
            </w:pPr>
            <w:r>
              <w:rPr>
                <w:rFonts w:ascii="Times New Roman" w:hAnsi="Times New Roman"/>
                <w:sz w:val="17"/>
              </w:rPr>
            </w:r>
            <w:r>
              <w:rPr>
                <w:rFonts w:ascii="Times New Roman" w:hAnsi="Times New Roman"/>
                <w:sz w:val="17"/>
              </w:rPr>
              <w:t>50</w:t>
            </w:r>
          </w:p>
        </w:tc>
        <w:tc>
          <w:tcPr>
            <w:tcW w:type="dxa" w:w="1317"/>
          </w:tcPr>
          <w:p>
            <w:pPr>
              <w:spacing w:before="20" w:after="20"/>
            </w:pPr>
            <w:r>
              <w:rPr>
                <w:rFonts w:ascii="Times New Roman" w:hAnsi="Times New Roman"/>
                <w:sz w:val="17"/>
              </w:rPr>
            </w:r>
            <w:r>
              <w:rPr>
                <w:rFonts w:ascii="Times New Roman" w:hAnsi="Times New Roman"/>
                <w:sz w:val="17"/>
              </w:rPr>
              <w:t>48–88</w:t>
            </w:r>
          </w:p>
        </w:tc>
        <w:tc>
          <w:tcPr>
            <w:tcW w:type="dxa" w:w="1317"/>
          </w:tcPr>
          <w:p>
            <w:pPr>
              <w:spacing w:before="20" w:after="20"/>
            </w:pPr>
            <w:r>
              <w:rPr>
                <w:rFonts w:ascii="Times New Roman" w:hAnsi="Times New Roman"/>
                <w:sz w:val="17"/>
              </w:rPr>
            </w:r>
            <w:r>
              <w:rPr>
                <w:rFonts w:ascii="Times New Roman" w:hAnsi="Times New Roman"/>
                <w:sz w:val="17"/>
              </w:rPr>
              <w:t>[57.1, 74.5]</w:t>
            </w:r>
          </w:p>
        </w:tc>
        <w:tc>
          <w:tcPr>
            <w:tcW w:type="dxa" w:w="1317"/>
          </w:tcPr>
          <w:p>
            <w:pPr>
              <w:spacing w:before="20" w:after="20"/>
            </w:pPr>
            <w:r>
              <w:rPr>
                <w:rFonts w:ascii="Times New Roman" w:hAnsi="Times New Roman"/>
                <w:sz w:val="17"/>
              </w:rPr>
            </w:r>
            <w:r>
              <w:rPr>
                <w:rFonts w:ascii="Times New Roman" w:hAnsi="Times New Roman"/>
                <w:sz w:val="17"/>
              </w:rPr>
              <w:t xml:space="preserve">+4.11, </w:t>
            </w:r>
            <w:r>
              <w:rPr>
                <w:rFonts w:ascii="Times New Roman" w:hAnsi="Times New Roman"/>
                <w:i/>
                <w:sz w:val="17"/>
              </w:rPr>
              <w:t>p</w:t>
            </w:r>
            <w:r>
              <w:rPr>
                <w:rFonts w:ascii="Times New Roman" w:hAnsi="Times New Roman"/>
                <w:sz w:val="17"/>
              </w:rPr>
              <w:t xml:space="preserve"> = .0026</w:t>
            </w:r>
          </w:p>
        </w:tc>
        <w:tc>
          <w:tcPr>
            <w:tcW w:type="dxa" w:w="1317"/>
          </w:tcPr>
          <w:p>
            <w:pPr>
              <w:spacing w:before="20" w:after="20"/>
            </w:pPr>
            <w:r>
              <w:rPr>
                <w:rFonts w:ascii="Times New Roman" w:hAnsi="Times New Roman"/>
                <w:sz w:val="17"/>
              </w:rPr>
            </w:r>
            <w:r>
              <w:rPr>
                <w:rFonts w:ascii="Times New Roman" w:hAnsi="Times New Roman"/>
                <w:sz w:val="17"/>
              </w:rPr>
              <w:t>1.30</w:t>
            </w:r>
          </w:p>
        </w:tc>
      </w:tr>
      <w:tr>
        <w:tc>
          <w:tcPr>
            <w:tcW w:type="dxa" w:w="1317"/>
          </w:tcPr>
          <w:p>
            <w:pPr>
              <w:spacing w:before="20" w:after="20"/>
            </w:pPr>
            <w:r>
              <w:rPr>
                <w:rFonts w:ascii="Times New Roman" w:hAnsi="Times New Roman"/>
                <w:sz w:val="17"/>
              </w:rPr>
            </w:r>
            <w:r>
              <w:rPr>
                <w:rFonts w:ascii="Times New Roman" w:hAnsi="Times New Roman"/>
                <w:sz w:val="17"/>
              </w:rPr>
              <w:t>Rest vs Walk</w:t>
            </w:r>
          </w:p>
        </w:tc>
        <w:tc>
          <w:tcPr>
            <w:tcW w:type="dxa" w:w="1317"/>
          </w:tcPr>
          <w:p>
            <w:pPr>
              <w:spacing w:before="20" w:after="20"/>
            </w:pPr>
            <w:r>
              <w:rPr>
                <w:rFonts w:ascii="Times New Roman" w:hAnsi="Times New Roman"/>
                <w:sz w:val="17"/>
              </w:rPr>
            </w:r>
            <w:r>
              <w:rPr>
                <w:rFonts w:ascii="Times New Roman" w:hAnsi="Times New Roman"/>
                <w:sz w:val="17"/>
              </w:rPr>
              <w:t>64.5 ± 10.3 %</w:t>
            </w:r>
          </w:p>
        </w:tc>
        <w:tc>
          <w:tcPr>
            <w:tcW w:type="dxa" w:w="1317"/>
          </w:tcPr>
          <w:p>
            <w:pPr>
              <w:spacing w:before="20" w:after="20"/>
            </w:pPr>
            <w:r>
              <w:rPr>
                <w:rFonts w:ascii="Times New Roman" w:hAnsi="Times New Roman"/>
                <w:sz w:val="17"/>
              </w:rPr>
            </w:r>
            <w:r>
              <w:rPr>
                <w:rFonts w:ascii="Times New Roman" w:hAnsi="Times New Roman"/>
                <w:sz w:val="17"/>
              </w:rPr>
              <w:t>50</w:t>
            </w:r>
          </w:p>
        </w:tc>
        <w:tc>
          <w:tcPr>
            <w:tcW w:type="dxa" w:w="1317"/>
          </w:tcPr>
          <w:p>
            <w:pPr>
              <w:spacing w:before="20" w:after="20"/>
            </w:pPr>
            <w:r>
              <w:rPr>
                <w:rFonts w:ascii="Times New Roman" w:hAnsi="Times New Roman"/>
                <w:sz w:val="17"/>
              </w:rPr>
            </w:r>
            <w:r>
              <w:rPr>
                <w:rFonts w:ascii="Times New Roman" w:hAnsi="Times New Roman"/>
                <w:sz w:val="17"/>
              </w:rPr>
              <w:t>42–76</w:t>
            </w:r>
          </w:p>
        </w:tc>
        <w:tc>
          <w:tcPr>
            <w:tcW w:type="dxa" w:w="1317"/>
          </w:tcPr>
          <w:p>
            <w:pPr>
              <w:spacing w:before="20" w:after="20"/>
            </w:pPr>
            <w:r>
              <w:rPr>
                <w:rFonts w:ascii="Times New Roman" w:hAnsi="Times New Roman"/>
                <w:sz w:val="17"/>
              </w:rPr>
            </w:r>
            <w:r>
              <w:rPr>
                <w:rFonts w:ascii="Times New Roman" w:hAnsi="Times New Roman"/>
                <w:sz w:val="17"/>
              </w:rPr>
              <w:t>[57.1, 71.9]</w:t>
            </w:r>
          </w:p>
        </w:tc>
        <w:tc>
          <w:tcPr>
            <w:tcW w:type="dxa" w:w="1317"/>
          </w:tcPr>
          <w:p>
            <w:pPr>
              <w:spacing w:before="20" w:after="20"/>
            </w:pPr>
            <w:r>
              <w:rPr>
                <w:rFonts w:ascii="Times New Roman" w:hAnsi="Times New Roman"/>
                <w:sz w:val="17"/>
              </w:rPr>
            </w:r>
            <w:r>
              <w:rPr>
                <w:rFonts w:ascii="Times New Roman" w:hAnsi="Times New Roman"/>
                <w:sz w:val="17"/>
              </w:rPr>
              <w:t xml:space="preserve">+4.42, </w:t>
            </w:r>
            <w:r>
              <w:rPr>
                <w:rFonts w:ascii="Times New Roman" w:hAnsi="Times New Roman"/>
                <w:i/>
                <w:sz w:val="17"/>
              </w:rPr>
              <w:t>p</w:t>
            </w:r>
            <w:r>
              <w:rPr>
                <w:rFonts w:ascii="Times New Roman" w:hAnsi="Times New Roman"/>
                <w:sz w:val="17"/>
              </w:rPr>
              <w:t xml:space="preserve"> = .0017</w:t>
            </w:r>
          </w:p>
        </w:tc>
        <w:tc>
          <w:tcPr>
            <w:tcW w:type="dxa" w:w="1317"/>
          </w:tcPr>
          <w:p>
            <w:pPr>
              <w:spacing w:before="20" w:after="20"/>
            </w:pPr>
            <w:r>
              <w:rPr>
                <w:rFonts w:ascii="Times New Roman" w:hAnsi="Times New Roman"/>
                <w:sz w:val="17"/>
              </w:rPr>
            </w:r>
            <w:r>
              <w:rPr>
                <w:rFonts w:ascii="Times New Roman" w:hAnsi="Times New Roman"/>
                <w:sz w:val="17"/>
              </w:rPr>
              <w:t>1.40</w:t>
            </w:r>
          </w:p>
        </w:tc>
      </w:tr>
      <w:tr>
        <w:tc>
          <w:tcPr>
            <w:tcW w:type="dxa" w:w="1317"/>
          </w:tcPr>
          <w:p>
            <w:pPr>
              <w:spacing w:before="20" w:after="20"/>
            </w:pPr>
            <w:r>
              <w:rPr>
                <w:rFonts w:ascii="Times New Roman" w:hAnsi="Times New Roman"/>
                <w:sz w:val="17"/>
              </w:rPr>
            </w:r>
            <w:r>
              <w:rPr>
                <w:rFonts w:ascii="Times New Roman" w:hAnsi="Times New Roman"/>
                <w:b/>
                <w:sz w:val="17"/>
              </w:rPr>
              <w:t>Stand vs Walk</w:t>
            </w:r>
          </w:p>
        </w:tc>
        <w:tc>
          <w:tcPr>
            <w:tcW w:type="dxa" w:w="1317"/>
          </w:tcPr>
          <w:p>
            <w:pPr>
              <w:spacing w:before="20" w:after="20"/>
            </w:pPr>
            <w:r>
              <w:rPr>
                <w:rFonts w:ascii="Times New Roman" w:hAnsi="Times New Roman"/>
                <w:sz w:val="17"/>
              </w:rPr>
            </w:r>
            <w:r>
              <w:rPr>
                <w:rFonts w:ascii="Times New Roman" w:hAnsi="Times New Roman"/>
                <w:sz w:val="17"/>
              </w:rPr>
              <w:t>53.1 ± 7.9 %</w:t>
            </w:r>
          </w:p>
        </w:tc>
        <w:tc>
          <w:tcPr>
            <w:tcW w:type="dxa" w:w="1317"/>
          </w:tcPr>
          <w:p>
            <w:pPr>
              <w:spacing w:before="20" w:after="20"/>
            </w:pPr>
            <w:r>
              <w:rPr>
                <w:rFonts w:ascii="Times New Roman" w:hAnsi="Times New Roman"/>
                <w:sz w:val="17"/>
              </w:rPr>
            </w:r>
            <w:r>
              <w:rPr>
                <w:rFonts w:ascii="Times New Roman" w:hAnsi="Times New Roman"/>
                <w:sz w:val="17"/>
              </w:rPr>
              <w:t>50</w:t>
            </w:r>
          </w:p>
        </w:tc>
        <w:tc>
          <w:tcPr>
            <w:tcW w:type="dxa" w:w="1317"/>
          </w:tcPr>
          <w:p>
            <w:pPr>
              <w:spacing w:before="20" w:after="20"/>
            </w:pPr>
            <w:r>
              <w:rPr>
                <w:rFonts w:ascii="Times New Roman" w:hAnsi="Times New Roman"/>
                <w:sz w:val="17"/>
              </w:rPr>
            </w:r>
            <w:r>
              <w:rPr>
                <w:rFonts w:ascii="Times New Roman" w:hAnsi="Times New Roman"/>
                <w:sz w:val="17"/>
              </w:rPr>
              <w:t>43–70</w:t>
            </w:r>
          </w:p>
        </w:tc>
        <w:tc>
          <w:tcPr>
            <w:tcW w:type="dxa" w:w="1317"/>
          </w:tcPr>
          <w:p>
            <w:pPr>
              <w:spacing w:before="20" w:after="20"/>
            </w:pPr>
            <w:r>
              <w:rPr>
                <w:rFonts w:ascii="Times New Roman" w:hAnsi="Times New Roman"/>
                <w:sz w:val="17"/>
              </w:rPr>
            </w:r>
            <w:r>
              <w:rPr>
                <w:rFonts w:ascii="Times New Roman" w:hAnsi="Times New Roman"/>
                <w:b/>
                <w:sz w:val="17"/>
              </w:rPr>
              <w:t>[47.5, 58.7]</w:t>
            </w:r>
          </w:p>
        </w:tc>
        <w:tc>
          <w:tcPr>
            <w:tcW w:type="dxa" w:w="1317"/>
          </w:tcPr>
          <w:p>
            <w:pPr>
              <w:spacing w:before="20" w:after="20"/>
            </w:pPr>
            <w:r>
              <w:rPr>
                <w:rFonts w:ascii="Times New Roman" w:hAnsi="Times New Roman"/>
                <w:sz w:val="17"/>
              </w:rPr>
            </w:r>
            <w:r>
              <w:rPr>
                <w:rFonts w:ascii="Times New Roman" w:hAnsi="Times New Roman"/>
                <w:b/>
                <w:sz w:val="17"/>
              </w:rPr>
              <w:t xml:space="preserve">+1.24, </w:t>
            </w:r>
            <w:r>
              <w:rPr>
                <w:rFonts w:ascii="Times New Roman" w:hAnsi="Times New Roman"/>
                <w:b/>
                <w:i/>
                <w:sz w:val="17"/>
              </w:rPr>
              <w:t>p</w:t>
            </w:r>
            <w:r>
              <w:rPr>
                <w:rFonts w:ascii="Times New Roman" w:hAnsi="Times New Roman"/>
                <w:b/>
                <w:sz w:val="17"/>
              </w:rPr>
              <w:t xml:space="preserve"> = .246</w:t>
            </w:r>
          </w:p>
        </w:tc>
        <w:tc>
          <w:tcPr>
            <w:tcW w:type="dxa" w:w="1317"/>
          </w:tcPr>
          <w:p>
            <w:pPr>
              <w:spacing w:before="20" w:after="20"/>
            </w:pPr>
            <w:r>
              <w:rPr>
                <w:rFonts w:ascii="Times New Roman" w:hAnsi="Times New Roman"/>
                <w:sz w:val="17"/>
              </w:rPr>
            </w:r>
            <w:r>
              <w:rPr>
                <w:rFonts w:ascii="Times New Roman" w:hAnsi="Times New Roman"/>
                <w:sz w:val="17"/>
              </w:rPr>
              <w:t>0.39</w:t>
            </w:r>
          </w:p>
        </w:tc>
      </w:tr>
      <w:tr>
        <w:tc>
          <w:tcPr>
            <w:tcW w:type="dxa" w:w="1317"/>
          </w:tcPr>
          <w:p>
            <w:pPr>
              <w:spacing w:before="20" w:after="20"/>
            </w:pPr>
            <w:r>
              <w:rPr>
                <w:rFonts w:ascii="Times New Roman" w:hAnsi="Times New Roman"/>
                <w:sz w:val="17"/>
              </w:rPr>
            </w:r>
            <w:r>
              <w:rPr>
                <w:rFonts w:ascii="Times New Roman" w:hAnsi="Times New Roman"/>
                <w:sz w:val="17"/>
              </w:rPr>
              <w:t>Three-class</w:t>
            </w:r>
          </w:p>
        </w:tc>
        <w:tc>
          <w:tcPr>
            <w:tcW w:type="dxa" w:w="1317"/>
          </w:tcPr>
          <w:p>
            <w:pPr>
              <w:spacing w:before="20" w:after="20"/>
            </w:pPr>
            <w:r>
              <w:rPr>
                <w:rFonts w:ascii="Times New Roman" w:hAnsi="Times New Roman"/>
                <w:sz w:val="17"/>
              </w:rPr>
            </w:r>
            <w:r>
              <w:rPr>
                <w:rFonts w:ascii="Times New Roman" w:hAnsi="Times New Roman"/>
                <w:sz w:val="17"/>
              </w:rPr>
              <w:t>45.8 ± 8.7 %</w:t>
            </w:r>
          </w:p>
        </w:tc>
        <w:tc>
          <w:tcPr>
            <w:tcW w:type="dxa" w:w="1317"/>
          </w:tcPr>
          <w:p>
            <w:pPr>
              <w:spacing w:before="20" w:after="20"/>
            </w:pPr>
            <w:r>
              <w:rPr>
                <w:rFonts w:ascii="Times New Roman" w:hAnsi="Times New Roman"/>
                <w:sz w:val="17"/>
              </w:rPr>
            </w:r>
            <w:r>
              <w:rPr>
                <w:rFonts w:ascii="Times New Roman" w:hAnsi="Times New Roman"/>
                <w:sz w:val="17"/>
              </w:rPr>
              <w:t>33</w:t>
            </w:r>
          </w:p>
        </w:tc>
        <w:tc>
          <w:tcPr>
            <w:tcW w:type="dxa" w:w="1317"/>
          </w:tcPr>
          <w:p>
            <w:pPr>
              <w:spacing w:before="20" w:after="20"/>
            </w:pPr>
            <w:r>
              <w:rPr>
                <w:rFonts w:ascii="Times New Roman" w:hAnsi="Times New Roman"/>
                <w:sz w:val="17"/>
              </w:rPr>
            </w:r>
            <w:r>
              <w:rPr>
                <w:rFonts w:ascii="Times New Roman" w:hAnsi="Times New Roman"/>
                <w:sz w:val="17"/>
              </w:rPr>
              <w:t>35–64</w:t>
            </w:r>
          </w:p>
        </w:tc>
        <w:tc>
          <w:tcPr>
            <w:tcW w:type="dxa" w:w="1317"/>
          </w:tcPr>
          <w:p>
            <w:pPr>
              <w:spacing w:before="20" w:after="20"/>
            </w:pPr>
            <w:r>
              <w:rPr>
                <w:rFonts w:ascii="Times New Roman" w:hAnsi="Times New Roman"/>
                <w:sz w:val="17"/>
              </w:rPr>
            </w:r>
            <w:r>
              <w:rPr>
                <w:rFonts w:ascii="Times New Roman" w:hAnsi="Times New Roman"/>
                <w:sz w:val="17"/>
              </w:rPr>
              <w:t>[39.5, 52.0]</w:t>
            </w:r>
          </w:p>
        </w:tc>
        <w:tc>
          <w:tcPr>
            <w:tcW w:type="dxa" w:w="1317"/>
          </w:tcPr>
          <w:p>
            <w:pPr>
              <w:spacing w:before="20" w:after="20"/>
            </w:pPr>
            <w:r>
              <w:rPr>
                <w:rFonts w:ascii="Times New Roman" w:hAnsi="Times New Roman"/>
                <w:sz w:val="17"/>
              </w:rPr>
            </w:r>
            <w:r>
              <w:rPr>
                <w:rFonts w:ascii="Times New Roman" w:hAnsi="Times New Roman"/>
                <w:sz w:val="17"/>
              </w:rPr>
              <w:t xml:space="preserve">+4.51, </w:t>
            </w:r>
            <w:r>
              <w:rPr>
                <w:rFonts w:ascii="Times New Roman" w:hAnsi="Times New Roman"/>
                <w:i/>
                <w:sz w:val="17"/>
              </w:rPr>
              <w:t>p</w:t>
            </w:r>
            <w:r>
              <w:rPr>
                <w:rFonts w:ascii="Times New Roman" w:hAnsi="Times New Roman"/>
                <w:sz w:val="17"/>
              </w:rPr>
              <w:t xml:space="preserve"> = .0015</w:t>
            </w:r>
          </w:p>
        </w:tc>
        <w:tc>
          <w:tcPr>
            <w:tcW w:type="dxa" w:w="1317"/>
          </w:tcPr>
          <w:p>
            <w:pPr>
              <w:spacing w:before="20" w:after="20"/>
            </w:pPr>
            <w:r>
              <w:rPr>
                <w:rFonts w:ascii="Times New Roman" w:hAnsi="Times New Roman"/>
                <w:sz w:val="17"/>
              </w:rPr>
            </w:r>
            <w:r>
              <w:rPr>
                <w:rFonts w:ascii="Times New Roman" w:hAnsi="Times New Roman"/>
                <w:sz w:val="17"/>
              </w:rPr>
              <w:t>1.43</w:t>
            </w:r>
          </w:p>
        </w:tc>
      </w:tr>
    </w:tbl>
    <w:p/>
    <w:p>
      <w:pPr>
        <w:jc w:val="both"/>
      </w:pPr>
      <w:r>
        <w:rPr>
          <w:b/>
        </w:rPr>
        <w:t>The independent unit is the participant</w:t>
      </w:r>
      <w:r>
        <w:rPr/>
        <w:t xml:space="preserve"> (</w:t>
      </w:r>
      <w:r>
        <w:rPr>
          <w:i/>
        </w:rPr>
        <w:t>n</w:t>
      </w:r>
      <w:r>
        <w:rPr/>
        <w:t xml:space="preserve"> = 10), not the trial. Trials are nested within participants, so a binomial test pooling ~1000 trials across the group treats correlated observations as independent and returns implausibly small </w:t>
      </w:r>
      <w:r>
        <w:rPr>
          <w:i/>
        </w:rPr>
        <w:t>p</w:t>
      </w:r>
      <w:r>
        <w:rPr/>
        <w:t xml:space="preserve">-values; we report the participant-level one-sample </w:t>
      </w:r>
      <w:r>
        <w:rPr>
          <w:i/>
        </w:rPr>
        <w:t>t</w:t>
      </w:r>
      <w:r>
        <w:rPr/>
        <w:t>-test instead. The distinction is decisive for the central contrast: pooled over trials Stand vs Walk appears significant (</w:t>
      </w:r>
      <w:r>
        <w:rPr>
          <w:i/>
        </w:rPr>
        <w:t>p</w:t>
      </w:r>
      <w:r>
        <w:rPr/>
        <w:t xml:space="preserve"> = .026), whereas at the participant level it is </w:t>
      </w:r>
      <w:r>
        <w:rPr>
          <w:b/>
        </w:rPr>
        <w:t>not significantly above chance and its confidence interval includes chance</w:t>
      </w:r>
      <w:r>
        <w:rPr/>
        <w:t>.</w:t>
      </w:r>
    </w:p>
    <w:p>
      <w:pPr>
        <w:jc w:val="both"/>
      </w:pPr>
      <w:r>
        <w:rPr/>
        <w:t>Per-participant optimisation over the fine filter bank with a soft-vote ensemble raised Stand-vs-Walk to 54.5 % and three-class to 48.2 % [</w:t>
      </w:r>
      <w:r>
        <w:rPr>
          <w:rFonts w:ascii="Consolas" w:hAnsi="Consolas"/>
          <w:sz w:val="18"/>
        </w:rPr>
        <w:t>05_optimize.py</w:t>
      </w:r>
      <w:r>
        <w:rPr/>
        <w:t>].</w:t>
      </w:r>
    </w:p>
    <w:p>
      <w:pPr>
        <w:jc w:val="both"/>
      </w:pPr>
      <w:r>
        <w:rPr>
          <w:b/>
        </w:rPr>
        <w:t>Bounding the negative formally.</w:t>
      </w:r>
      <w:r>
        <w:rPr/>
        <w:t xml:space="preserve"> A non-significant result is not by itself evidence of absence, so we test the bound directly rather than inferring it from </w:t>
      </w:r>
      <w:r>
        <w:rPr>
          <w:i/>
        </w:rPr>
        <w:t>p</w:t>
      </w:r>
      <w:r>
        <w:rPr/>
        <w:t xml:space="preserve"> &gt; .05. Against the ~70 % accuracy commonly cited as the minimum for practical BCI control, Stand-vs-Walk accuracy is significantly </w:t>
      </w:r>
      <w:r>
        <w:rPr>
          <w:i/>
        </w:rPr>
        <w:t>below</w:t>
      </w:r>
      <w:r>
        <w:rPr/>
        <w:t xml:space="preserve"> threshold (one-sided </w:t>
      </w:r>
      <w:r>
        <w:rPr>
          <w:i/>
        </w:rPr>
        <w:t>t</w:t>
      </w:r>
      <w:r>
        <w:rPr/>
        <w:t xml:space="preserve">(9) = −6.78, </w:t>
      </w:r>
      <w:r>
        <w:rPr>
          <w:i/>
        </w:rPr>
        <w:t>p</w:t>
      </w:r>
      <w:r>
        <w:rPr/>
        <w:t xml:space="preserve"> = 4.1 × 10⁻⁵) — a positive demonstration, not a failure to reject. Two one-sided tests for equivalence to chance, however, do </w:t>
      </w:r>
      <w:r>
        <w:rPr>
          <w:b/>
        </w:rPr>
        <w:t>not</w:t>
      </w:r>
      <w:r>
        <w:rPr/>
        <w:t xml:space="preserve"> support a claim of exact equivalence at a ±5-point margin (</w:t>
      </w:r>
      <w:r>
        <w:rPr>
          <w:i/>
        </w:rPr>
        <w:t>p</w:t>
      </w:r>
      <w:r>
        <w:rPr/>
        <w:t xml:space="preserve"> = .232); equivalence is supported only at ±8 points (</w:t>
      </w:r>
      <w:r>
        <w:rPr>
          <w:i/>
        </w:rPr>
        <w:t>p</w:t>
      </w:r>
      <w:r>
        <w:rPr/>
        <w:t xml:space="preserve"> = .040). The defensible statement is therefore bounded on both sides: the true Stand-vs-Walk accuracy lies within roughly eight points of chance and is demonstrably below the level at which it could drive a device. We do not claim it is exactly chance.</w:t>
      </w:r>
    </w:p>
    <w:p>
      <w:pPr>
        <w:jc w:val="both"/>
      </w:pPr>
      <w:r>
        <w:rPr/>
        <w:t xml:space="preserve">The pooled three-class confusion matrix localises the entire error [Fig. 2, </w:t>
      </w:r>
      <w:r>
        <w:rPr>
          <w:rFonts w:ascii="Consolas" w:hAnsi="Consolas"/>
          <w:sz w:val="18"/>
        </w:rPr>
        <w:t>fig_confusion_3cls.png</w:t>
      </w:r>
      <w:r>
        <w:rPr/>
        <w:t xml:space="preserve">]: Rest is recovered at 53 %, while Stand and Walk exchange 36 % and 34 % of their mass with each other. Rest is recovered above chance in every participant. </w:t>
      </w:r>
      <w:r>
        <w:rPr>
          <w:b/>
        </w:rPr>
        <w:t>The three-class problem and the Stand-versus-Walk problem are the same problem.</w:t>
      </w:r>
    </w:p>
    <w:p>
      <w:pPr>
        <w:jc w:val="both"/>
      </w:pPr>
      <w:r>
        <w:rPr>
          <w:rFonts w:ascii="Consolas" w:hAnsi="Consolas"/>
          <w:sz w:val="18"/>
        </w:rPr>
        <w:t>fb_ts_lr</w:t>
      </w:r>
      <w:r>
        <w:rPr/>
        <w:t xml:space="preserve"> achieved the highest mean accuracy on all four contrasts. However, under the corrected resampled </w:t>
      </w:r>
      <w:r>
        <w:rPr>
          <w:i/>
        </w:rPr>
        <w:t>t</w:t>
      </w:r>
      <w:r>
        <w:rPr/>
        <w:t xml:space="preserve">-test none of sixteen pipeline contrasts reached significance (all </w:t>
      </w:r>
      <w:r>
        <w:rPr>
          <w:i/>
        </w:rPr>
        <w:t>p</w:t>
      </w:r>
      <w:r>
        <w:rPr/>
        <w:t xml:space="preserve"> ≥ .247), although the uncorrected paired test gave </w:t>
      </w:r>
      <w:r>
        <w:rPr>
          <w:i/>
        </w:rPr>
        <w:t>p</w:t>
      </w:r>
      <w:r>
        <w:rPr/>
        <w:t xml:space="preserve"> = .046 for </w:t>
      </w:r>
      <w:r>
        <w:rPr>
          <w:rFonts w:ascii="Consolas" w:hAnsi="Consolas"/>
          <w:sz w:val="18"/>
        </w:rPr>
        <w:t>fb_ts_lr</w:t>
      </w:r>
      <w:r>
        <w:rPr/>
        <w:t xml:space="preserve"> versus CSP+LDA on Rest-vs-Stand. We therefore describe </w:t>
      </w:r>
      <w:r>
        <w:rPr>
          <w:rFonts w:ascii="Consolas" w:hAnsi="Consolas"/>
          <w:sz w:val="18"/>
        </w:rPr>
        <w:t>fb_ts_lr</w:t>
      </w:r>
      <w:r>
        <w:rPr/>
        <w:t xml:space="preserve"> as best-performing, not significantly better. EEGNet-8,2 underperformed the classical pipelines (Stand vs Walk 51.8 %, three-class 42.1 %) [</w:t>
      </w:r>
      <w:r>
        <w:rPr>
          <w:rFonts w:ascii="Consolas" w:hAnsi="Consolas"/>
          <w:sz w:val="18"/>
        </w:rPr>
        <w:t>04_deep.py</w:t>
      </w:r>
      <w:r>
        <w:rPr/>
        <w:t>].</w:t>
      </w:r>
    </w:p>
    <w:p>
      <w:pPr>
        <w:jc w:val="both"/>
      </w:pPr>
      <w:r>
        <w:rPr>
          <w:b/>
        </w:rPr>
        <w:t>Chronological validation.</w:t>
      </w:r>
      <w:r>
        <w:rPr/>
        <w:t xml:space="preserve"> Training on the first 60 % of trials and testing on the last 40 % cost at most 1.4 points (Rest vs Stand 65.6 %, Rest vs Walk 65.1 %, three-class 46.0 %). Within-session drift is therefore not contributing to the reported accuracies.</w:t>
      </w:r>
    </w:p>
    <w:p>
      <w:pPr>
        <w:pStyle w:val="Heading3"/>
        <w:spacing w:before="200" w:after="80"/>
      </w:pPr>
      <w:r>
        <w:rPr>
          <w:rFonts w:ascii="Times New Roman" w:hAnsi="Times New Roman"/>
          <w:color w:val="1F2328"/>
          <w:sz w:val="23"/>
        </w:rPr>
        <w:t>C. Per-participant significance</w:t>
      </w:r>
    </w:p>
    <w:p>
      <w:pPr>
        <w:jc w:val="both"/>
      </w:pPr>
      <w:r>
        <w:rPr>
          <w:b/>
        </w:rPr>
        <w:t>TABLE II — Participants individually exceeding chance (1000-permutation null, Holm-corrected)</w:t>
      </w:r>
      <w:r>
        <w:rPr/>
        <w:t xml:space="preserve"> [</w:t>
      </w:r>
      <w:r>
        <w:rPr>
          <w:rFonts w:ascii="Consolas" w:hAnsi="Consolas"/>
          <w:sz w:val="18"/>
        </w:rPr>
        <w:t>09_stats.py</w:t>
      </w:r>
      <w:r>
        <w:rPr/>
        <w:t>, Fig. 3]</w:t>
      </w:r>
    </w:p>
    <w:tbl>
      <w:tblPr>
        <w:tblStyle w:val="TableGrid"/>
        <w:tblW w:type="auto" w:w="0"/>
        <w:jc w:val="center"/>
        <w:tblLayout w:type="fixed"/>
        <w:tblLook w:firstColumn="1" w:firstRow="1" w:lastColumn="0" w:lastRow="0" w:noHBand="0" w:noVBand="1" w:val="04A0"/>
      </w:tblPr>
      <w:tblGrid>
        <w:gridCol w:w="4680"/>
        <w:gridCol w:w="4680"/>
      </w:tblGrid>
      <w:tr>
        <w:tc>
          <w:tcPr>
            <w:tcW w:type="dxa" w:w="4608"/>
            <w:shd w:val="clear" w:fill="EEF2F7"/>
          </w:tcPr>
          <w:p>
            <w:pPr>
              <w:spacing w:before="20" w:after="20"/>
            </w:pPr>
            <w:r>
              <w:rPr>
                <w:rFonts w:ascii="Times New Roman" w:hAnsi="Times New Roman"/>
                <w:b/>
                <w:sz w:val="17"/>
              </w:rPr>
            </w:r>
            <w:r>
              <w:rPr>
                <w:rFonts w:ascii="Times New Roman" w:hAnsi="Times New Roman"/>
                <w:b/>
                <w:sz w:val="17"/>
              </w:rPr>
              <w:t>Contrast</w:t>
            </w:r>
          </w:p>
        </w:tc>
        <w:tc>
          <w:tcPr>
            <w:tcW w:type="dxa" w:w="4608"/>
            <w:shd w:val="clear" w:fill="EEF2F7"/>
          </w:tcPr>
          <w:p>
            <w:pPr>
              <w:spacing w:before="20" w:after="20"/>
            </w:pPr>
            <w:r>
              <w:rPr>
                <w:rFonts w:ascii="Times New Roman" w:hAnsi="Times New Roman"/>
                <w:b/>
                <w:sz w:val="17"/>
              </w:rPr>
            </w:r>
            <w:r>
              <w:rPr>
                <w:rFonts w:ascii="Times New Roman" w:hAnsi="Times New Roman"/>
                <w:b/>
                <w:sz w:val="17"/>
              </w:rPr>
              <w:t>Significant</w:t>
            </w:r>
          </w:p>
        </w:tc>
      </w:tr>
      <w:tr>
        <w:tc>
          <w:tcPr>
            <w:tcW w:type="dxa" w:w="4608"/>
          </w:tcPr>
          <w:p>
            <w:pPr>
              <w:spacing w:before="20" w:after="20"/>
            </w:pPr>
            <w:r>
              <w:rPr>
                <w:rFonts w:ascii="Times New Roman" w:hAnsi="Times New Roman"/>
                <w:sz w:val="17"/>
              </w:rPr>
            </w:r>
            <w:r>
              <w:rPr>
                <w:rFonts w:ascii="Times New Roman" w:hAnsi="Times New Roman"/>
                <w:sz w:val="17"/>
              </w:rPr>
              <w:t>Three-class</w:t>
            </w:r>
          </w:p>
        </w:tc>
        <w:tc>
          <w:tcPr>
            <w:tcW w:type="dxa" w:w="4608"/>
          </w:tcPr>
          <w:p>
            <w:pPr>
              <w:spacing w:before="20" w:after="20"/>
            </w:pPr>
            <w:r>
              <w:rPr>
                <w:rFonts w:ascii="Times New Roman" w:hAnsi="Times New Roman"/>
                <w:sz w:val="17"/>
              </w:rPr>
            </w:r>
            <w:r>
              <w:rPr>
                <w:rFonts w:ascii="Times New Roman" w:hAnsi="Times New Roman"/>
                <w:sz w:val="17"/>
              </w:rPr>
              <w:t>8 / 10</w:t>
            </w:r>
          </w:p>
        </w:tc>
      </w:tr>
      <w:tr>
        <w:tc>
          <w:tcPr>
            <w:tcW w:type="dxa" w:w="4608"/>
          </w:tcPr>
          <w:p>
            <w:pPr>
              <w:spacing w:before="20" w:after="20"/>
            </w:pPr>
            <w:r>
              <w:rPr>
                <w:rFonts w:ascii="Times New Roman" w:hAnsi="Times New Roman"/>
                <w:sz w:val="17"/>
              </w:rPr>
            </w:r>
            <w:r>
              <w:rPr>
                <w:rFonts w:ascii="Times New Roman" w:hAnsi="Times New Roman"/>
                <w:sz w:val="17"/>
              </w:rPr>
              <w:t>Rest vs Walk</w:t>
            </w:r>
          </w:p>
        </w:tc>
        <w:tc>
          <w:tcPr>
            <w:tcW w:type="dxa" w:w="4608"/>
          </w:tcPr>
          <w:p>
            <w:pPr>
              <w:spacing w:before="20" w:after="20"/>
            </w:pPr>
            <w:r>
              <w:rPr>
                <w:rFonts w:ascii="Times New Roman" w:hAnsi="Times New Roman"/>
                <w:sz w:val="17"/>
              </w:rPr>
            </w:r>
            <w:r>
              <w:rPr>
                <w:rFonts w:ascii="Times New Roman" w:hAnsi="Times New Roman"/>
                <w:sz w:val="17"/>
              </w:rPr>
              <w:t>8 / 10</w:t>
            </w:r>
          </w:p>
        </w:tc>
      </w:tr>
      <w:tr>
        <w:tc>
          <w:tcPr>
            <w:tcW w:type="dxa" w:w="4608"/>
          </w:tcPr>
          <w:p>
            <w:pPr>
              <w:spacing w:before="20" w:after="20"/>
            </w:pPr>
            <w:r>
              <w:rPr>
                <w:rFonts w:ascii="Times New Roman" w:hAnsi="Times New Roman"/>
                <w:sz w:val="17"/>
              </w:rPr>
            </w:r>
            <w:r>
              <w:rPr>
                <w:rFonts w:ascii="Times New Roman" w:hAnsi="Times New Roman"/>
                <w:sz w:val="17"/>
              </w:rPr>
              <w:t>Rest vs Stand</w:t>
            </w:r>
          </w:p>
        </w:tc>
        <w:tc>
          <w:tcPr>
            <w:tcW w:type="dxa" w:w="4608"/>
          </w:tcPr>
          <w:p>
            <w:pPr>
              <w:spacing w:before="20" w:after="20"/>
            </w:pPr>
            <w:r>
              <w:rPr>
                <w:rFonts w:ascii="Times New Roman" w:hAnsi="Times New Roman"/>
                <w:sz w:val="17"/>
              </w:rPr>
            </w:r>
            <w:r>
              <w:rPr>
                <w:rFonts w:ascii="Times New Roman" w:hAnsi="Times New Roman"/>
                <w:sz w:val="17"/>
              </w:rPr>
              <w:t>5 / 10</w:t>
            </w:r>
          </w:p>
        </w:tc>
      </w:tr>
      <w:tr>
        <w:tc>
          <w:tcPr>
            <w:tcW w:type="dxa" w:w="4608"/>
          </w:tcPr>
          <w:p>
            <w:pPr>
              <w:spacing w:before="20" w:after="20"/>
            </w:pPr>
            <w:r>
              <w:rPr>
                <w:rFonts w:ascii="Times New Roman" w:hAnsi="Times New Roman"/>
                <w:sz w:val="17"/>
              </w:rPr>
            </w:r>
            <w:r>
              <w:rPr>
                <w:rFonts w:ascii="Times New Roman" w:hAnsi="Times New Roman"/>
                <w:sz w:val="17"/>
              </w:rPr>
              <w:t>Stand vs Walk</w:t>
            </w:r>
          </w:p>
        </w:tc>
        <w:tc>
          <w:tcPr>
            <w:tcW w:type="dxa" w:w="4608"/>
          </w:tcPr>
          <w:p>
            <w:pPr>
              <w:spacing w:before="20" w:after="20"/>
            </w:pPr>
            <w:r>
              <w:rPr>
                <w:rFonts w:ascii="Times New Roman" w:hAnsi="Times New Roman"/>
                <w:sz w:val="17"/>
              </w:rPr>
            </w:r>
            <w:r>
              <w:rPr>
                <w:rFonts w:ascii="Times New Roman" w:hAnsi="Times New Roman"/>
                <w:sz w:val="17"/>
              </w:rPr>
              <w:t>1 / 10</w:t>
            </w:r>
          </w:p>
        </w:tc>
      </w:tr>
    </w:tbl>
    <w:p/>
    <w:p>
      <w:pPr>
        <w:jc w:val="both"/>
      </w:pPr>
      <w:r>
        <w:rPr/>
        <w:t>Note that Rest-vs-Stand has the highest group mean but the fewest individually significant participants, its spread being widest (± 12.1). Group means alone invert the ordering of these two contrasts.</w:t>
      </w:r>
    </w:p>
    <w:p>
      <w:pPr>
        <w:jc w:val="both"/>
      </w:pPr>
      <w:r>
        <w:rPr>
          <w:b/>
        </w:rPr>
        <w:t>TABLE IIb — The two rest-versus-imagery contrasts, side by side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72"/>
            <w:shd w:val="clear" w:fill="EEF2F7"/>
          </w:tcPr>
          <w:p>
            <w:pPr>
              <w:spacing w:before="20" w:after="20"/>
            </w:pPr>
            <w:r>
              <w:rPr>
                <w:rFonts w:ascii="Times New Roman" w:hAnsi="Times New Roman"/>
                <w:b/>
                <w:sz w:val="17"/>
              </w:rPr>
            </w:r>
          </w:p>
        </w:tc>
        <w:tc>
          <w:tcPr>
            <w:tcW w:type="dxa" w:w="3072"/>
            <w:shd w:val="clear" w:fill="EEF2F7"/>
          </w:tcPr>
          <w:p>
            <w:pPr>
              <w:spacing w:before="20" w:after="20"/>
            </w:pPr>
            <w:r>
              <w:rPr>
                <w:rFonts w:ascii="Times New Roman" w:hAnsi="Times New Roman"/>
                <w:b/>
                <w:sz w:val="17"/>
              </w:rPr>
            </w:r>
            <w:r>
              <w:rPr>
                <w:rFonts w:ascii="Times New Roman" w:hAnsi="Times New Roman"/>
                <w:b/>
                <w:sz w:val="17"/>
              </w:rPr>
              <w:t xml:space="preserve">Rest vs </w:t>
            </w:r>
            <w:r>
              <w:rPr>
                <w:rFonts w:ascii="Times New Roman" w:hAnsi="Times New Roman"/>
                <w:b/>
                <w:sz w:val="17"/>
              </w:rPr>
              <w:t>Stand</w:t>
            </w:r>
          </w:p>
        </w:tc>
        <w:tc>
          <w:tcPr>
            <w:tcW w:type="dxa" w:w="3072"/>
            <w:shd w:val="clear" w:fill="EEF2F7"/>
          </w:tcPr>
          <w:p>
            <w:pPr>
              <w:spacing w:before="20" w:after="20"/>
            </w:pPr>
            <w:r>
              <w:rPr>
                <w:rFonts w:ascii="Times New Roman" w:hAnsi="Times New Roman"/>
                <w:b/>
                <w:sz w:val="17"/>
              </w:rPr>
            </w:r>
            <w:r>
              <w:rPr>
                <w:rFonts w:ascii="Times New Roman" w:hAnsi="Times New Roman"/>
                <w:b/>
                <w:sz w:val="17"/>
              </w:rPr>
              <w:t xml:space="preserve">Rest vs </w:t>
            </w:r>
            <w:r>
              <w:rPr>
                <w:rFonts w:ascii="Times New Roman" w:hAnsi="Times New Roman"/>
                <w:b/>
                <w:sz w:val="17"/>
              </w:rPr>
              <w:t>Walk</w:t>
            </w:r>
          </w:p>
        </w:tc>
      </w:tr>
      <w:tr>
        <w:tc>
          <w:tcPr>
            <w:tcW w:type="dxa" w:w="3072"/>
          </w:tcPr>
          <w:p>
            <w:pPr>
              <w:spacing w:before="20" w:after="20"/>
            </w:pPr>
            <w:r>
              <w:rPr>
                <w:rFonts w:ascii="Times New Roman" w:hAnsi="Times New Roman"/>
                <w:sz w:val="17"/>
              </w:rPr>
            </w:r>
            <w:r>
              <w:rPr>
                <w:rFonts w:ascii="Times New Roman" w:hAnsi="Times New Roman"/>
                <w:sz w:val="17"/>
              </w:rPr>
              <w:t>Nested accuracy</w:t>
            </w:r>
          </w:p>
        </w:tc>
        <w:tc>
          <w:tcPr>
            <w:tcW w:type="dxa" w:w="3072"/>
          </w:tcPr>
          <w:p>
            <w:pPr>
              <w:spacing w:before="20" w:after="20"/>
            </w:pPr>
            <w:r>
              <w:rPr>
                <w:rFonts w:ascii="Times New Roman" w:hAnsi="Times New Roman"/>
                <w:sz w:val="17"/>
              </w:rPr>
            </w:r>
            <w:r>
              <w:rPr>
                <w:rFonts w:ascii="Times New Roman" w:hAnsi="Times New Roman"/>
                <w:sz w:val="17"/>
              </w:rPr>
              <w:t>65.8 ± 12.1 %</w:t>
            </w:r>
          </w:p>
        </w:tc>
        <w:tc>
          <w:tcPr>
            <w:tcW w:type="dxa" w:w="3072"/>
          </w:tcPr>
          <w:p>
            <w:pPr>
              <w:spacing w:before="20" w:after="20"/>
            </w:pPr>
            <w:r>
              <w:rPr>
                <w:rFonts w:ascii="Times New Roman" w:hAnsi="Times New Roman"/>
                <w:sz w:val="17"/>
              </w:rPr>
            </w:r>
            <w:r>
              <w:rPr>
                <w:rFonts w:ascii="Times New Roman" w:hAnsi="Times New Roman"/>
                <w:sz w:val="17"/>
              </w:rPr>
              <w:t>64.5 ± 10.3 %</w:t>
            </w:r>
          </w:p>
        </w:tc>
      </w:tr>
      <w:tr>
        <w:tc>
          <w:tcPr>
            <w:tcW w:type="dxa" w:w="3072"/>
          </w:tcPr>
          <w:p>
            <w:pPr>
              <w:spacing w:before="20" w:after="20"/>
            </w:pPr>
            <w:r>
              <w:rPr>
                <w:rFonts w:ascii="Times New Roman" w:hAnsi="Times New Roman"/>
                <w:sz w:val="17"/>
              </w:rPr>
            </w:r>
            <w:r>
              <w:rPr>
                <w:rFonts w:ascii="Times New Roman" w:hAnsi="Times New Roman"/>
                <w:sz w:val="17"/>
              </w:rPr>
              <w:t>Range across participants</w:t>
            </w:r>
          </w:p>
        </w:tc>
        <w:tc>
          <w:tcPr>
            <w:tcW w:type="dxa" w:w="3072"/>
          </w:tcPr>
          <w:p>
            <w:pPr>
              <w:spacing w:before="20" w:after="20"/>
            </w:pPr>
            <w:r>
              <w:rPr>
                <w:rFonts w:ascii="Times New Roman" w:hAnsi="Times New Roman"/>
                <w:sz w:val="17"/>
              </w:rPr>
            </w:r>
            <w:r>
              <w:rPr>
                <w:rFonts w:ascii="Times New Roman" w:hAnsi="Times New Roman"/>
                <w:sz w:val="17"/>
              </w:rPr>
              <w:t>48–88 %</w:t>
            </w:r>
          </w:p>
        </w:tc>
        <w:tc>
          <w:tcPr>
            <w:tcW w:type="dxa" w:w="3072"/>
          </w:tcPr>
          <w:p>
            <w:pPr>
              <w:spacing w:before="20" w:after="20"/>
            </w:pPr>
            <w:r>
              <w:rPr>
                <w:rFonts w:ascii="Times New Roman" w:hAnsi="Times New Roman"/>
                <w:sz w:val="17"/>
              </w:rPr>
            </w:r>
            <w:r>
              <w:rPr>
                <w:rFonts w:ascii="Times New Roman" w:hAnsi="Times New Roman"/>
                <w:sz w:val="17"/>
              </w:rPr>
              <w:t>42–76 %</w:t>
            </w:r>
          </w:p>
        </w:tc>
      </w:tr>
      <w:tr>
        <w:tc>
          <w:tcPr>
            <w:tcW w:type="dxa" w:w="3072"/>
          </w:tcPr>
          <w:p>
            <w:pPr>
              <w:spacing w:before="20" w:after="20"/>
            </w:pPr>
            <w:r>
              <w:rPr>
                <w:rFonts w:ascii="Times New Roman" w:hAnsi="Times New Roman"/>
                <w:sz w:val="17"/>
              </w:rPr>
            </w:r>
            <w:r>
              <w:rPr>
                <w:rFonts w:ascii="Times New Roman" w:hAnsi="Times New Roman"/>
                <w:b/>
                <w:sz w:val="17"/>
              </w:rPr>
              <w:t>Individually significant (Holm)</w:t>
            </w:r>
          </w:p>
        </w:tc>
        <w:tc>
          <w:tcPr>
            <w:tcW w:type="dxa" w:w="3072"/>
          </w:tcPr>
          <w:p>
            <w:pPr>
              <w:spacing w:before="20" w:after="20"/>
            </w:pPr>
            <w:r>
              <w:rPr>
                <w:rFonts w:ascii="Times New Roman" w:hAnsi="Times New Roman"/>
                <w:sz w:val="17"/>
              </w:rPr>
            </w:r>
            <w:r>
              <w:rPr>
                <w:rFonts w:ascii="Times New Roman" w:hAnsi="Times New Roman"/>
                <w:b/>
                <w:sz w:val="17"/>
              </w:rPr>
              <w:t>5 / 10</w:t>
            </w:r>
          </w:p>
        </w:tc>
        <w:tc>
          <w:tcPr>
            <w:tcW w:type="dxa" w:w="3072"/>
          </w:tcPr>
          <w:p>
            <w:pPr>
              <w:spacing w:before="20" w:after="20"/>
            </w:pPr>
            <w:r>
              <w:rPr>
                <w:rFonts w:ascii="Times New Roman" w:hAnsi="Times New Roman"/>
                <w:sz w:val="17"/>
              </w:rPr>
            </w:r>
            <w:r>
              <w:rPr>
                <w:rFonts w:ascii="Times New Roman" w:hAnsi="Times New Roman"/>
                <w:b/>
                <w:sz w:val="17"/>
              </w:rPr>
              <w:t>8 / 10</w:t>
            </w:r>
          </w:p>
        </w:tc>
      </w:tr>
      <w:tr>
        <w:tc>
          <w:tcPr>
            <w:tcW w:type="dxa" w:w="3072"/>
          </w:tcPr>
          <w:p>
            <w:pPr>
              <w:spacing w:before="20" w:after="20"/>
            </w:pPr>
            <w:r>
              <w:rPr>
                <w:rFonts w:ascii="Times New Roman" w:hAnsi="Times New Roman"/>
                <w:sz w:val="17"/>
              </w:rPr>
            </w:r>
            <w:r>
              <w:rPr>
                <w:rFonts w:ascii="Times New Roman" w:hAnsi="Times New Roman"/>
                <w:sz w:val="17"/>
              </w:rPr>
              <w:t>Chronological-split cost</w:t>
            </w:r>
          </w:p>
        </w:tc>
        <w:tc>
          <w:tcPr>
            <w:tcW w:type="dxa" w:w="3072"/>
          </w:tcPr>
          <w:p>
            <w:pPr>
              <w:spacing w:before="20" w:after="20"/>
            </w:pPr>
            <w:r>
              <w:rPr>
                <w:rFonts w:ascii="Times New Roman" w:hAnsi="Times New Roman"/>
                <w:sz w:val="17"/>
              </w:rPr>
            </w:r>
            <w:r>
              <w:rPr>
                <w:rFonts w:ascii="Times New Roman" w:hAnsi="Times New Roman"/>
                <w:sz w:val="17"/>
              </w:rPr>
              <w:t>−1.4 pts</w:t>
            </w:r>
          </w:p>
        </w:tc>
        <w:tc>
          <w:tcPr>
            <w:tcW w:type="dxa" w:w="3072"/>
          </w:tcPr>
          <w:p>
            <w:pPr>
              <w:spacing w:before="20" w:after="20"/>
            </w:pPr>
            <w:r>
              <w:rPr>
                <w:rFonts w:ascii="Times New Roman" w:hAnsi="Times New Roman"/>
                <w:sz w:val="17"/>
              </w:rPr>
            </w:r>
            <w:r>
              <w:rPr>
                <w:rFonts w:ascii="Times New Roman" w:hAnsi="Times New Roman"/>
                <w:sz w:val="17"/>
              </w:rPr>
              <w:t>−0.7 pts</w:t>
            </w:r>
          </w:p>
        </w:tc>
      </w:tr>
      <w:tr>
        <w:tc>
          <w:tcPr>
            <w:tcW w:type="dxa" w:w="3072"/>
          </w:tcPr>
          <w:p>
            <w:pPr>
              <w:spacing w:before="20" w:after="20"/>
            </w:pPr>
            <w:r>
              <w:rPr>
                <w:rFonts w:ascii="Times New Roman" w:hAnsi="Times New Roman"/>
                <w:sz w:val="17"/>
              </w:rPr>
            </w:r>
            <w:r>
              <w:rPr>
                <w:rFonts w:ascii="Times New Roman" w:hAnsi="Times New Roman"/>
                <w:sz w:val="17"/>
              </w:rPr>
              <w:t>M2 rhythm specificity</w:t>
            </w:r>
          </w:p>
        </w:tc>
        <w:tc>
          <w:tcPr>
            <w:tcW w:type="dxa" w:w="3072"/>
          </w:tcPr>
          <w:p>
            <w:pPr>
              <w:spacing w:before="20" w:after="20"/>
            </w:pPr>
            <w:r>
              <w:rPr>
                <w:rFonts w:ascii="Times New Roman" w:hAnsi="Times New Roman"/>
                <w:sz w:val="17"/>
              </w:rPr>
            </w:r>
            <w:r>
              <w:rPr>
                <w:rFonts w:ascii="Times New Roman" w:hAnsi="Times New Roman"/>
                <w:sz w:val="17"/>
              </w:rPr>
              <w:t>1.60</w:t>
            </w:r>
          </w:p>
        </w:tc>
        <w:tc>
          <w:tcPr>
            <w:tcW w:type="dxa" w:w="3072"/>
          </w:tcPr>
          <w:p>
            <w:pPr>
              <w:spacing w:before="20" w:after="20"/>
            </w:pPr>
            <w:r>
              <w:rPr>
                <w:rFonts w:ascii="Times New Roman" w:hAnsi="Times New Roman"/>
                <w:sz w:val="17"/>
              </w:rPr>
            </w:r>
            <w:r>
              <w:rPr>
                <w:rFonts w:ascii="Times New Roman" w:hAnsi="Times New Roman"/>
                <w:b/>
                <w:sz w:val="17"/>
              </w:rPr>
              <w:t>1.83</w:t>
            </w:r>
          </w:p>
        </w:tc>
      </w:tr>
      <w:tr>
        <w:tc>
          <w:tcPr>
            <w:tcW w:type="dxa" w:w="3072"/>
          </w:tcPr>
          <w:p>
            <w:pPr>
              <w:spacing w:before="20" w:after="20"/>
            </w:pPr>
            <w:r>
              <w:rPr>
                <w:rFonts w:ascii="Times New Roman" w:hAnsi="Times New Roman"/>
                <w:sz w:val="17"/>
              </w:rPr>
            </w:r>
            <w:r>
              <w:rPr>
                <w:rFonts w:ascii="Times New Roman" w:hAnsi="Times New Roman"/>
                <w:sz w:val="17"/>
              </w:rPr>
              <w:t>M4 EMG ratio (lower is cleaner)</w:t>
            </w:r>
          </w:p>
        </w:tc>
        <w:tc>
          <w:tcPr>
            <w:tcW w:type="dxa" w:w="3072"/>
          </w:tcPr>
          <w:p>
            <w:pPr>
              <w:spacing w:before="20" w:after="20"/>
            </w:pPr>
            <w:r>
              <w:rPr>
                <w:rFonts w:ascii="Times New Roman" w:hAnsi="Times New Roman"/>
                <w:sz w:val="17"/>
              </w:rPr>
            </w:r>
            <w:r>
              <w:rPr>
                <w:rFonts w:ascii="Times New Roman" w:hAnsi="Times New Roman"/>
                <w:sz w:val="17"/>
              </w:rPr>
              <w:t>0.98</w:t>
            </w:r>
          </w:p>
        </w:tc>
        <w:tc>
          <w:tcPr>
            <w:tcW w:type="dxa" w:w="3072"/>
          </w:tcPr>
          <w:p>
            <w:pPr>
              <w:spacing w:before="20" w:after="20"/>
            </w:pPr>
            <w:r>
              <w:rPr>
                <w:rFonts w:ascii="Times New Roman" w:hAnsi="Times New Roman"/>
                <w:sz w:val="17"/>
              </w:rPr>
            </w:r>
            <w:r>
              <w:rPr>
                <w:rFonts w:ascii="Times New Roman" w:hAnsi="Times New Roman"/>
                <w:b/>
                <w:sz w:val="17"/>
              </w:rPr>
              <w:t>0.74</w:t>
            </w:r>
          </w:p>
        </w:tc>
      </w:tr>
      <w:tr>
        <w:tc>
          <w:tcPr>
            <w:tcW w:type="dxa" w:w="3072"/>
          </w:tcPr>
          <w:p>
            <w:pPr>
              <w:spacing w:before="20" w:after="20"/>
            </w:pPr>
            <w:r>
              <w:rPr>
                <w:rFonts w:ascii="Times New Roman" w:hAnsi="Times New Roman"/>
                <w:sz w:val="17"/>
              </w:rPr>
            </w:r>
            <w:r>
              <w:rPr>
                <w:rFonts w:ascii="Times New Roman" w:hAnsi="Times New Roman"/>
                <w:sz w:val="17"/>
              </w:rPr>
              <w:t>M3 (central focus) vs accuracy</w:t>
            </w:r>
          </w:p>
        </w:tc>
        <w:tc>
          <w:tcPr>
            <w:tcW w:type="dxa" w:w="3072"/>
          </w:tcPr>
          <w:p>
            <w:pPr>
              <w:spacing w:before="20" w:after="20"/>
            </w:pPr>
            <w:r>
              <w:rPr>
                <w:rFonts w:ascii="Times New Roman" w:hAnsi="Times New Roman"/>
                <w:sz w:val="17"/>
              </w:rPr>
            </w:r>
            <w:r>
              <w:rPr>
                <w:rFonts w:ascii="Times New Roman" w:hAnsi="Times New Roman"/>
                <w:sz w:val="17"/>
              </w:rPr>
              <w:t xml:space="preserve">ρ = +0.28, </w:t>
            </w:r>
            <w:r>
              <w:rPr>
                <w:rFonts w:ascii="Times New Roman" w:hAnsi="Times New Roman"/>
                <w:i/>
                <w:sz w:val="17"/>
              </w:rPr>
              <w:t>p</w:t>
            </w:r>
            <w:r>
              <w:rPr>
                <w:rFonts w:ascii="Times New Roman" w:hAnsi="Times New Roman"/>
                <w:sz w:val="17"/>
              </w:rPr>
              <w:t xml:space="preserve"> = .43</w:t>
            </w:r>
          </w:p>
        </w:tc>
        <w:tc>
          <w:tcPr>
            <w:tcW w:type="dxa" w:w="3072"/>
          </w:tcPr>
          <w:p>
            <w:pPr>
              <w:spacing w:before="20" w:after="20"/>
            </w:pPr>
            <w:r>
              <w:rPr>
                <w:rFonts w:ascii="Times New Roman" w:hAnsi="Times New Roman"/>
                <w:sz w:val="17"/>
              </w:rPr>
            </w:r>
            <w:r>
              <w:rPr>
                <w:rFonts w:ascii="Times New Roman" w:hAnsi="Times New Roman"/>
                <w:b/>
                <w:sz w:val="17"/>
              </w:rPr>
              <w:t xml:space="preserve">ρ = +0.55, </w:t>
            </w:r>
            <w:r>
              <w:rPr>
                <w:rFonts w:ascii="Times New Roman" w:hAnsi="Times New Roman"/>
                <w:b/>
                <w:i/>
                <w:sz w:val="17"/>
              </w:rPr>
              <w:t>p</w:t>
            </w:r>
            <w:r>
              <w:rPr>
                <w:rFonts w:ascii="Times New Roman" w:hAnsi="Times New Roman"/>
                <w:b/>
                <w:sz w:val="17"/>
              </w:rPr>
              <w:t xml:space="preserve"> = .097</w:t>
            </w:r>
          </w:p>
        </w:tc>
      </w:tr>
    </w:tbl>
    <w:p/>
    <w:p>
      <w:pPr>
        <w:jc w:val="both"/>
      </w:pPr>
      <w:r>
        <w:rPr>
          <w:b/>
        </w:rPr>
        <w:t>Rest-vs-Walk is the stronger result despite the lower group mean</w:t>
      </w:r>
      <w:r>
        <w:rPr/>
        <w:t>, on four independent grounds: it is significant in 8 of 10 participants rather than 5; its spread is narrower; it is the cleaner contrast physiologically (less gamma-range contamination, more of its discriminability confined to mu/beta); and it is the only contrast in the dataset for which the prespecified physiological criterion predicts decoding performance at all.</w:t>
      </w:r>
    </w:p>
    <w:p>
      <w:pPr>
        <w:jc w:val="both"/>
      </w:pPr>
      <w:r>
        <w:rPr/>
        <w:t>There is also a specific problem with the Rest-vs-Stand ranking. Its highest scorer is the participant whose Rest-vs-Stand effect is shown in Section III-E to peak at 36 Hz with a flat topography (M4 = 1.78) — i.e. the top of that leaderboard is muscle artifact. Rest-vs-Walk has no comparable dependence on a contaminated participant.</w:t>
      </w:r>
    </w:p>
    <w:p>
      <w:pPr>
        <w:jc w:val="both"/>
      </w:pPr>
      <w:r>
        <w:rPr/>
        <w:t xml:space="preserve">We therefore report </w:t>
      </w:r>
      <w:r>
        <w:rPr>
          <w:b/>
        </w:rPr>
        <w:t>Rest vs Walk as the primary positive finding</w:t>
      </w:r>
      <w:r>
        <w:rPr/>
        <w:t xml:space="preserve"> and Rest vs Stand as a secondary one.</w:t>
      </w:r>
    </w:p>
    <w:p>
      <w:pPr>
        <w:pStyle w:val="Heading3"/>
        <w:spacing w:before="200" w:after="80"/>
      </w:pPr>
      <w:r>
        <w:rPr>
          <w:rFonts w:ascii="Times New Roman" w:hAnsi="Times New Roman"/>
          <w:color w:val="1F2328"/>
          <w:sz w:val="23"/>
        </w:rPr>
        <w:t>D. Bounding the Stand-versus-Walk negative</w:t>
      </w:r>
    </w:p>
    <w:p>
      <w:pPr>
        <w:jc w:val="both"/>
      </w:pPr>
      <w:r>
        <w:rPr/>
        <w:t>Three independent analyses converge.</w:t>
      </w:r>
    </w:p>
    <w:p>
      <w:pPr>
        <w:jc w:val="both"/>
      </w:pPr>
      <w:r>
        <w:rPr>
          <w:b/>
        </w:rPr>
        <w:t>(1) Exhaustive configuration search.</w:t>
      </w:r>
      <w:r>
        <w:rPr/>
        <w:t xml:space="preserve"> Fifteen epoch windows × seven bands × two references × four pipelines = 840 configurations per participant. Each participant was then allowed to select its single best configuration </w:t>
      </w:r>
      <w:r>
        <w:rPr>
          <w:i/>
        </w:rPr>
        <w:t>scored on the same folds being reported</w:t>
      </w:r>
      <w:r>
        <w:rPr/>
        <w:t xml:space="preserve"> — a deliberately optimistic procedure that would be indefensible as a result. Per-participant maxima ranged </w:t>
      </w:r>
      <w:r>
        <w:rPr>
          <w:b/>
        </w:rPr>
        <w:t>61.5–75.0 % (mean 68.4 %)</w:t>
      </w:r>
      <w:r>
        <w:rPr/>
        <w:t>. Seven of ten participants remain below the ~70 % accuracy commonly cited as the minimum for practical BCI control [2], [3], and the three that clear it (75.0, 72.0, 71.7 %) do so only under a procedure that chooses the configuration on the very folds it is scored on — these are not accuracies obtainable prospectively [</w:t>
      </w:r>
      <w:r>
        <w:rPr>
          <w:rFonts w:ascii="Consolas" w:hAnsi="Consolas"/>
          <w:sz w:val="18"/>
        </w:rPr>
        <w:t>07_svw_focus.py</w:t>
      </w:r>
      <w:r>
        <w:rPr/>
        <w:t>].</w:t>
      </w:r>
    </w:p>
    <w:p>
      <w:pPr>
        <w:jc w:val="both"/>
      </w:pPr>
      <w:r>
        <w:rPr>
          <w:b/>
        </w:rPr>
        <w:t>(2) No temporal structure.</w:t>
      </w:r>
      <w:r>
        <w:rPr/>
        <w:t xml:space="preserve"> Standing-up imagery is a single ~2 s postural transition whereas walking imagery spans the full cue, so the classes might diverge late in the trial. Marginal accuracy across all fifteen windows ranged 51.4–52.9 %; a late [3.5, 5.0] s window gave 52.4 %, no better than the full period.</w:t>
      </w:r>
    </w:p>
    <w:p>
      <w:pPr>
        <w:jc w:val="both"/>
      </w:pPr>
      <w:r>
        <w:rPr>
          <w:b/>
        </w:rPr>
        <w:t>(3) Effect size.</w:t>
      </w:r>
      <w:r>
        <w:rPr/>
        <w:t xml:space="preserve"> The grand-mean peak channel × frequency </w:t>
      </w:r>
      <w:r>
        <w:rPr>
          <w:i/>
        </w:rPr>
        <w:t>r</w:t>
      </w:r>
      <w:r>
        <w:rPr/>
        <w:t xml:space="preserve">² was 0.034 for Stand vs Walk, against 0.062 (Rest vs Stand) and 0.074 (Rest vs Walk). The effect is physiologically coherent — a ~13 Hz ridge over C3/C4/CP4 with higher power during Walk — but roughly an order of magnitude too small for high-accuracy single-trial decoding [Fig. 4, </w:t>
      </w:r>
      <w:r>
        <w:rPr>
          <w:rFonts w:ascii="Consolas" w:hAnsi="Consolas"/>
          <w:sz w:val="18"/>
        </w:rPr>
        <w:t>01_diagnose.py</w:t>
      </w:r>
      <w:r>
        <w:rPr/>
        <w:t>].</w:t>
      </w:r>
    </w:p>
    <w:p>
      <w:pPr>
        <w:pStyle w:val="Heading3"/>
        <w:spacing w:before="200" w:after="80"/>
      </w:pPr>
      <w:r>
        <w:rPr>
          <w:rFonts w:ascii="Times New Roman" w:hAnsi="Times New Roman"/>
          <w:color w:val="1F2328"/>
          <w:sz w:val="23"/>
        </w:rPr>
        <w:t>E. Screening an individual participant: an apparently significant result that is not neural</w:t>
      </w:r>
    </w:p>
    <w:p>
      <w:pPr>
        <w:jc w:val="both"/>
      </w:pPr>
      <w:r>
        <w:rPr/>
        <w:t xml:space="preserve">One participant (P06) reached 67.0 % on Stand vs Walk (permutation </w:t>
      </w:r>
      <w:r>
        <w:rPr>
          <w:i/>
        </w:rPr>
        <w:t>p</w:t>
      </w:r>
      <w:r>
        <w:rPr/>
        <w:t xml:space="preserve"> = .004, Holm-corrected </w:t>
      </w:r>
      <w:r>
        <w:rPr>
          <w:i/>
        </w:rPr>
        <w:t>p</w:t>
      </w:r>
      <w:r>
        <w:rPr/>
        <w:t xml:space="preserve"> = .040), the only individually significant case. Note that with ten participants at chance and </w:t>
      </w:r>
      <w:r>
        <w:rPr>
          <w:i/>
        </w:rPr>
        <w:t>n</w:t>
      </w:r>
      <w:r>
        <w:rPr/>
        <w:t xml:space="preserve"> = 100 trials the expected best-of-ten is ≈ 58 %, so this exceeds what selection alone produces.</w:t>
      </w:r>
    </w:p>
    <w:p>
      <w:pPr>
        <w:jc w:val="both"/>
      </w:pPr>
      <w:r>
        <w:rPr/>
        <w:t>Four physiological checks nevertheless reject it [</w:t>
      </w:r>
      <w:r>
        <w:rPr>
          <w:rFonts w:ascii="Consolas" w:hAnsi="Consolas"/>
          <w:sz w:val="18"/>
        </w:rPr>
        <w:t>10_pty_physiology.py</w:t>
      </w:r>
      <w:r>
        <w:rPr/>
        <w:t>]:</w:t>
      </w:r>
    </w:p>
    <w:p>
      <w:pPr>
        <w:jc w:val="both"/>
      </w:pPr>
      <w:r>
        <w:rPr>
          <w:b/>
        </w:rPr>
        <w:t>TABLE III — Physiological screen, participant P06, Stand vs Walk</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72"/>
            <w:shd w:val="clear" w:fill="EEF2F7"/>
          </w:tcPr>
          <w:p>
            <w:pPr>
              <w:spacing w:before="20" w:after="20"/>
            </w:pPr>
            <w:r>
              <w:rPr>
                <w:rFonts w:ascii="Times New Roman" w:hAnsi="Times New Roman"/>
                <w:b/>
                <w:sz w:val="17"/>
              </w:rPr>
            </w:r>
            <w:r>
              <w:rPr>
                <w:rFonts w:ascii="Times New Roman" w:hAnsi="Times New Roman"/>
                <w:b/>
                <w:sz w:val="17"/>
              </w:rPr>
              <w:t>Check</w:t>
            </w:r>
          </w:p>
        </w:tc>
        <w:tc>
          <w:tcPr>
            <w:tcW w:type="dxa" w:w="3072"/>
            <w:shd w:val="clear" w:fill="EEF2F7"/>
          </w:tcPr>
          <w:p>
            <w:pPr>
              <w:spacing w:before="20" w:after="20"/>
            </w:pPr>
            <w:r>
              <w:rPr>
                <w:rFonts w:ascii="Times New Roman" w:hAnsi="Times New Roman"/>
                <w:b/>
                <w:sz w:val="17"/>
              </w:rPr>
            </w:r>
            <w:r>
              <w:rPr>
                <w:rFonts w:ascii="Times New Roman" w:hAnsi="Times New Roman"/>
                <w:b/>
                <w:sz w:val="17"/>
              </w:rPr>
              <w:t>Result</w:t>
            </w:r>
          </w:p>
        </w:tc>
        <w:tc>
          <w:tcPr>
            <w:tcW w:type="dxa" w:w="3072"/>
            <w:shd w:val="clear" w:fill="EEF2F7"/>
          </w:tcPr>
          <w:p>
            <w:pPr>
              <w:spacing w:before="20" w:after="20"/>
            </w:pPr>
            <w:r>
              <w:rPr>
                <w:rFonts w:ascii="Times New Roman" w:hAnsi="Times New Roman"/>
                <w:b/>
                <w:sz w:val="17"/>
              </w:rPr>
            </w:r>
            <w:r>
              <w:rPr>
                <w:rFonts w:ascii="Times New Roman" w:hAnsi="Times New Roman"/>
                <w:b/>
                <w:sz w:val="17"/>
              </w:rPr>
              <w:t>Interpretation</w:t>
            </w:r>
          </w:p>
        </w:tc>
      </w:tr>
      <w:tr>
        <w:tc>
          <w:tcPr>
            <w:tcW w:type="dxa" w:w="3072"/>
          </w:tcPr>
          <w:p>
            <w:pPr>
              <w:spacing w:before="20" w:after="20"/>
            </w:pPr>
            <w:r>
              <w:rPr>
                <w:rFonts w:ascii="Times New Roman" w:hAnsi="Times New Roman"/>
                <w:sz w:val="17"/>
              </w:rPr>
            </w:r>
            <w:r>
              <w:rPr>
                <w:rFonts w:ascii="Times New Roman" w:hAnsi="Times New Roman"/>
                <w:sz w:val="17"/>
              </w:rPr>
              <w:t xml:space="preserve">Peak of </w:t>
            </w:r>
            <w:r>
              <w:rPr>
                <w:rFonts w:ascii="Times New Roman" w:hAnsi="Times New Roman"/>
                <w:i/>
                <w:sz w:val="17"/>
              </w:rPr>
              <w:t>r</w:t>
            </w:r>
            <w:r>
              <w:rPr>
                <w:rFonts w:ascii="Times New Roman" w:hAnsi="Times New Roman"/>
                <w:sz w:val="17"/>
              </w:rPr>
              <w:t>² map</w:t>
            </w:r>
          </w:p>
        </w:tc>
        <w:tc>
          <w:tcPr>
            <w:tcW w:type="dxa" w:w="3072"/>
          </w:tcPr>
          <w:p>
            <w:pPr>
              <w:spacing w:before="20" w:after="20"/>
            </w:pPr>
            <w:r>
              <w:rPr>
                <w:rFonts w:ascii="Times New Roman" w:hAnsi="Times New Roman"/>
                <w:sz w:val="17"/>
              </w:rPr>
            </w:r>
            <w:r>
              <w:rPr>
                <w:rFonts w:ascii="Times New Roman" w:hAnsi="Times New Roman"/>
                <w:sz w:val="17"/>
              </w:rPr>
              <w:t xml:space="preserve">FC4, </w:t>
            </w:r>
            <w:r>
              <w:rPr>
                <w:rFonts w:ascii="Times New Roman" w:hAnsi="Times New Roman"/>
                <w:b/>
                <w:sz w:val="17"/>
              </w:rPr>
              <w:t>36 Hz</w:t>
            </w:r>
            <w:r>
              <w:rPr>
                <w:rFonts w:ascii="Times New Roman" w:hAnsi="Times New Roman"/>
                <w:sz w:val="17"/>
              </w:rPr>
              <w:t xml:space="preserve">, </w:t>
            </w:r>
            <w:r>
              <w:rPr>
                <w:rFonts w:ascii="Times New Roman" w:hAnsi="Times New Roman"/>
                <w:i/>
                <w:sz w:val="17"/>
              </w:rPr>
              <w:t>r</w:t>
            </w:r>
            <w:r>
              <w:rPr>
                <w:rFonts w:ascii="Times New Roman" w:hAnsi="Times New Roman"/>
                <w:sz w:val="17"/>
              </w:rPr>
              <w:t xml:space="preserve"> = .45</w:t>
            </w:r>
          </w:p>
        </w:tc>
        <w:tc>
          <w:tcPr>
            <w:tcW w:type="dxa" w:w="3072"/>
          </w:tcPr>
          <w:p>
            <w:pPr>
              <w:spacing w:before="20" w:after="20"/>
            </w:pPr>
            <w:r>
              <w:rPr>
                <w:rFonts w:ascii="Times New Roman" w:hAnsi="Times New Roman"/>
                <w:sz w:val="17"/>
              </w:rPr>
            </w:r>
            <w:r>
              <w:rPr>
                <w:rFonts w:ascii="Times New Roman" w:hAnsi="Times New Roman"/>
                <w:sz w:val="17"/>
              </w:rPr>
              <w:t>EMG range</w:t>
            </w:r>
          </w:p>
        </w:tc>
      </w:tr>
      <w:tr>
        <w:tc>
          <w:tcPr>
            <w:tcW w:type="dxa" w:w="3072"/>
          </w:tcPr>
          <w:p>
            <w:pPr>
              <w:spacing w:before="20" w:after="20"/>
            </w:pPr>
            <w:r>
              <w:rPr>
                <w:rFonts w:ascii="Times New Roman" w:hAnsi="Times New Roman"/>
                <w:sz w:val="17"/>
              </w:rPr>
            </w:r>
            <w:r>
              <w:rPr>
                <w:rFonts w:ascii="Times New Roman" w:hAnsi="Times New Roman"/>
                <w:sz w:val="17"/>
              </w:rPr>
              <w:t>mu (8–13) topography</w:t>
            </w:r>
          </w:p>
        </w:tc>
        <w:tc>
          <w:tcPr>
            <w:tcW w:type="dxa" w:w="3072"/>
          </w:tcPr>
          <w:p>
            <w:pPr>
              <w:spacing w:before="20" w:after="20"/>
            </w:pPr>
            <w:r>
              <w:rPr>
                <w:rFonts w:ascii="Times New Roman" w:hAnsi="Times New Roman"/>
                <w:sz w:val="17"/>
              </w:rPr>
            </w:r>
            <w:r>
              <w:rPr>
                <w:rFonts w:ascii="Times New Roman" w:hAnsi="Times New Roman"/>
                <w:sz w:val="17"/>
              </w:rPr>
              <w:t>+.20 to +.26 on all eight electrodes, max/min = 1.27</w:t>
            </w:r>
          </w:p>
        </w:tc>
        <w:tc>
          <w:tcPr>
            <w:tcW w:type="dxa" w:w="3072"/>
          </w:tcPr>
          <w:p>
            <w:pPr>
              <w:spacing w:before="20" w:after="20"/>
            </w:pPr>
            <w:r>
              <w:rPr>
                <w:rFonts w:ascii="Times New Roman" w:hAnsi="Times New Roman"/>
                <w:sz w:val="17"/>
              </w:rPr>
            </w:r>
            <w:r>
              <w:rPr>
                <w:rFonts w:ascii="Times New Roman" w:hAnsi="Times New Roman"/>
                <w:sz w:val="17"/>
              </w:rPr>
              <w:t>spatially uniform</w:t>
            </w:r>
          </w:p>
        </w:tc>
      </w:tr>
      <w:tr>
        <w:tc>
          <w:tcPr>
            <w:tcW w:type="dxa" w:w="3072"/>
          </w:tcPr>
          <w:p>
            <w:pPr>
              <w:spacing w:before="20" w:after="20"/>
            </w:pPr>
            <w:r>
              <w:rPr>
                <w:rFonts w:ascii="Times New Roman" w:hAnsi="Times New Roman"/>
                <w:sz w:val="17"/>
              </w:rPr>
            </w:r>
            <w:r>
              <w:rPr>
                <w:rFonts w:ascii="Times New Roman" w:hAnsi="Times New Roman"/>
                <w:sz w:val="17"/>
              </w:rPr>
              <w:t>gamma (30–45) topography</w:t>
            </w:r>
          </w:p>
        </w:tc>
        <w:tc>
          <w:tcPr>
            <w:tcW w:type="dxa" w:w="3072"/>
          </w:tcPr>
          <w:p>
            <w:pPr>
              <w:spacing w:before="20" w:after="20"/>
            </w:pPr>
            <w:r>
              <w:rPr>
                <w:rFonts w:ascii="Times New Roman" w:hAnsi="Times New Roman"/>
                <w:sz w:val="17"/>
              </w:rPr>
            </w:r>
            <w:r>
              <w:rPr>
                <w:rFonts w:ascii="Times New Roman" w:hAnsi="Times New Roman"/>
                <w:sz w:val="17"/>
              </w:rPr>
              <w:t>−.23 to −.32 on all eight, max/min = 1.41</w:t>
            </w:r>
          </w:p>
        </w:tc>
        <w:tc>
          <w:tcPr>
            <w:tcW w:type="dxa" w:w="3072"/>
          </w:tcPr>
          <w:p>
            <w:pPr>
              <w:spacing w:before="20" w:after="20"/>
            </w:pPr>
            <w:r>
              <w:rPr>
                <w:rFonts w:ascii="Times New Roman" w:hAnsi="Times New Roman"/>
                <w:sz w:val="17"/>
              </w:rPr>
            </w:r>
            <w:r>
              <w:rPr>
                <w:rFonts w:ascii="Times New Roman" w:hAnsi="Times New Roman"/>
                <w:sz w:val="17"/>
              </w:rPr>
              <w:t>spatially uniform</w:t>
            </w:r>
          </w:p>
        </w:tc>
      </w:tr>
      <w:tr>
        <w:tc>
          <w:tcPr>
            <w:tcW w:type="dxa" w:w="3072"/>
          </w:tcPr>
          <w:p>
            <w:pPr>
              <w:spacing w:before="20" w:after="20"/>
            </w:pPr>
            <w:r>
              <w:rPr>
                <w:rFonts w:ascii="Times New Roman" w:hAnsi="Times New Roman"/>
                <w:sz w:val="17"/>
              </w:rPr>
            </w:r>
            <w:r>
              <w:rPr>
                <w:rFonts w:ascii="Times New Roman" w:hAnsi="Times New Roman"/>
                <w:sz w:val="17"/>
              </w:rPr>
              <w:t>Band ablation</w:t>
            </w:r>
          </w:p>
        </w:tc>
        <w:tc>
          <w:tcPr>
            <w:tcW w:type="dxa" w:w="3072"/>
          </w:tcPr>
          <w:p>
            <w:pPr>
              <w:spacing w:before="20" w:after="20"/>
            </w:pPr>
            <w:r>
              <w:rPr>
                <w:rFonts w:ascii="Times New Roman" w:hAnsi="Times New Roman"/>
                <w:sz w:val="17"/>
              </w:rPr>
            </w:r>
            <w:r>
              <w:rPr>
                <w:rFonts w:ascii="Times New Roman" w:hAnsi="Times New Roman"/>
                <w:sz w:val="17"/>
              </w:rPr>
              <w:t>mu 64 %, beta 67 %, gamma 63 %, delta/theta 62 %</w:t>
            </w:r>
          </w:p>
        </w:tc>
        <w:tc>
          <w:tcPr>
            <w:tcW w:type="dxa" w:w="3072"/>
          </w:tcPr>
          <w:p>
            <w:pPr>
              <w:spacing w:before="20" w:after="20"/>
            </w:pPr>
            <w:r>
              <w:rPr>
                <w:rFonts w:ascii="Times New Roman" w:hAnsi="Times New Roman"/>
                <w:sz w:val="17"/>
              </w:rPr>
            </w:r>
            <w:r>
              <w:rPr>
                <w:rFonts w:ascii="Times New Roman" w:hAnsi="Times New Roman"/>
                <w:sz w:val="17"/>
              </w:rPr>
              <w:t>every band equal</w:t>
            </w:r>
          </w:p>
        </w:tc>
      </w:tr>
      <w:tr>
        <w:tc>
          <w:tcPr>
            <w:tcW w:type="dxa" w:w="3072"/>
          </w:tcPr>
          <w:p>
            <w:pPr>
              <w:spacing w:before="20" w:after="20"/>
            </w:pPr>
            <w:r>
              <w:rPr>
                <w:rFonts w:ascii="Times New Roman" w:hAnsi="Times New Roman"/>
                <w:sz w:val="17"/>
              </w:rPr>
            </w:r>
            <w:r>
              <w:rPr>
                <w:rFonts w:ascii="Times New Roman" w:hAnsi="Times New Roman"/>
                <w:sz w:val="17"/>
              </w:rPr>
              <w:t xml:space="preserve">Peak </w:t>
            </w:r>
            <w:r>
              <w:rPr>
                <w:rFonts w:ascii="Times New Roman" w:hAnsi="Times New Roman"/>
                <w:i/>
                <w:sz w:val="17"/>
              </w:rPr>
              <w:t>r</w:t>
            </w:r>
            <w:r>
              <w:rPr>
                <w:rFonts w:ascii="Times New Roman" w:hAnsi="Times New Roman"/>
                <w:sz w:val="17"/>
              </w:rPr>
              <w:t>² by band</w:t>
            </w:r>
          </w:p>
        </w:tc>
        <w:tc>
          <w:tcPr>
            <w:tcW w:type="dxa" w:w="3072"/>
          </w:tcPr>
          <w:p>
            <w:pPr>
              <w:spacing w:before="20" w:after="20"/>
            </w:pPr>
            <w:r>
              <w:rPr>
                <w:rFonts w:ascii="Times New Roman" w:hAnsi="Times New Roman"/>
                <w:sz w:val="17"/>
              </w:rPr>
            </w:r>
            <w:r>
              <w:rPr>
                <w:rFonts w:ascii="Times New Roman" w:hAnsi="Times New Roman"/>
                <w:sz w:val="17"/>
              </w:rPr>
              <w:t xml:space="preserve">gamma 30–45 Hz </w:t>
            </w:r>
            <w:r>
              <w:rPr>
                <w:rFonts w:ascii="Times New Roman" w:hAnsi="Times New Roman"/>
                <w:b/>
                <w:sz w:val="17"/>
              </w:rPr>
              <w:t>0.083</w:t>
            </w:r>
            <w:r>
              <w:rPr>
                <w:rFonts w:ascii="Times New Roman" w:hAnsi="Times New Roman"/>
                <w:sz w:val="17"/>
              </w:rPr>
              <w:t xml:space="preserve"> &gt; mu 8–13 Hz 0.072 &gt; beta 0.026</w:t>
            </w:r>
          </w:p>
        </w:tc>
        <w:tc>
          <w:tcPr>
            <w:tcW w:type="dxa" w:w="3072"/>
          </w:tcPr>
          <w:p>
            <w:pPr>
              <w:spacing w:before="20" w:after="20"/>
            </w:pPr>
            <w:r>
              <w:rPr>
                <w:rFonts w:ascii="Times New Roman" w:hAnsi="Times New Roman"/>
                <w:sz w:val="17"/>
              </w:rPr>
            </w:r>
            <w:r>
              <w:rPr>
                <w:rFonts w:ascii="Times New Roman" w:hAnsi="Times New Roman"/>
                <w:sz w:val="17"/>
              </w:rPr>
              <w:t>maximal where SMR is absent</w:t>
            </w:r>
          </w:p>
        </w:tc>
      </w:tr>
      <w:tr>
        <w:tc>
          <w:tcPr>
            <w:tcW w:type="dxa" w:w="3072"/>
          </w:tcPr>
          <w:p>
            <w:pPr>
              <w:spacing w:before="20" w:after="20"/>
            </w:pPr>
            <w:r>
              <w:rPr>
                <w:rFonts w:ascii="Times New Roman" w:hAnsi="Times New Roman"/>
                <w:sz w:val="17"/>
              </w:rPr>
            </w:r>
            <w:r>
              <w:rPr>
                <w:rFonts w:ascii="Times New Roman" w:hAnsi="Times New Roman"/>
                <w:sz w:val="17"/>
              </w:rPr>
              <w:t>Train file 1 → test file 2 (46 min later, same cap)</w:t>
            </w:r>
          </w:p>
        </w:tc>
        <w:tc>
          <w:tcPr>
            <w:tcW w:type="dxa" w:w="3072"/>
          </w:tcPr>
          <w:p>
            <w:pPr>
              <w:spacing w:before="20" w:after="20"/>
            </w:pPr>
            <w:r>
              <w:rPr>
                <w:rFonts w:ascii="Times New Roman" w:hAnsi="Times New Roman"/>
                <w:sz w:val="17"/>
              </w:rPr>
            </w:r>
            <w:r>
              <w:rPr>
                <w:rFonts w:ascii="Times New Roman" w:hAnsi="Times New Roman"/>
                <w:sz w:val="17"/>
              </w:rPr>
              <w:t xml:space="preserve">76.2 % → </w:t>
            </w:r>
            <w:r>
              <w:rPr>
                <w:rFonts w:ascii="Times New Roman" w:hAnsi="Times New Roman"/>
                <w:b/>
                <w:sz w:val="17"/>
              </w:rPr>
              <w:t>60.0 %</w:t>
            </w:r>
            <w:r>
              <w:rPr>
                <w:rFonts w:ascii="Times New Roman" w:hAnsi="Times New Roman"/>
                <w:sz w:val="17"/>
              </w:rPr>
              <w:t xml:space="preserve"> (</w:t>
            </w:r>
            <w:r>
              <w:rPr>
                <w:rFonts w:ascii="Times New Roman" w:hAnsi="Times New Roman"/>
                <w:i/>
                <w:sz w:val="17"/>
              </w:rPr>
              <w:t>p</w:t>
            </w:r>
            <w:r>
              <w:rPr>
                <w:rFonts w:ascii="Times New Roman" w:hAnsi="Times New Roman"/>
                <w:sz w:val="17"/>
              </w:rPr>
              <w:t xml:space="preserve"> = .25)</w:t>
            </w:r>
          </w:p>
        </w:tc>
        <w:tc>
          <w:tcPr>
            <w:tcW w:type="dxa" w:w="3072"/>
          </w:tcPr>
          <w:p>
            <w:pPr>
              <w:spacing w:before="20" w:after="20"/>
            </w:pPr>
            <w:r>
              <w:rPr>
                <w:rFonts w:ascii="Times New Roman" w:hAnsi="Times New Roman"/>
                <w:sz w:val="17"/>
              </w:rPr>
            </w:r>
            <w:r>
              <w:rPr>
                <w:rFonts w:ascii="Times New Roman" w:hAnsi="Times New Roman"/>
                <w:sz w:val="17"/>
              </w:rPr>
              <w:t>not stable across the gap</w:t>
            </w:r>
          </w:p>
        </w:tc>
      </w:tr>
    </w:tbl>
    <w:p/>
    <w:p>
      <w:pPr>
        <w:jc w:val="both"/>
      </w:pPr>
      <w:r>
        <w:rPr/>
        <w:t xml:space="preserve">Genuine lower-limb sensorimotor rhythm is focal at Cz/CPz with a clear spatial gradient and confined to mu/beta. These criteria are validated independently in Section III-I, where the same screens classify executed movement as non-cortical and a post-movement beta-rebound test — which the screens do not use — reaches the same verdict. What P06 shows is a globally uniform alpha increase plus a globally uniform 30–45 Hz decrease during Walk, decodable equally well from delta/theta — where no sensorimotor rhythm exists — and not reproducible 46 minutes later in the same recording appointment. The gamma result is conservative: 30–45 Hz lies in the amplifier's roll-off (Section II-C), so the 63 % obtained there was reached </w:t>
      </w:r>
      <w:r>
        <w:rPr>
          <w:i/>
        </w:rPr>
        <w:t>through</w:t>
      </w:r>
      <w:r>
        <w:rPr/>
        <w:t xml:space="preserve"> instrumental attenuation, and the underlying muscle activity is correspondingly stronger than the band-limited figure suggests. That last point is worth stating precisely: because the cap was never removed between the two files, the collapse from 76.2 % to 60.0 % cannot be attributed to a change in electrode position or impedance, and must reflect the signal itself. This is a broadband state difference: the participant was globally more relaxed while imagining walking than while imagining standing.</w:t>
      </w:r>
    </w:p>
    <w:p>
      <w:pPr>
        <w:jc w:val="both"/>
      </w:pPr>
      <w:r>
        <w:rPr>
          <w:b/>
        </w:rPr>
        <w:t>This generalises.</w:t>
      </w:r>
      <w:r>
        <w:rPr/>
        <w:t xml:space="preserve"> Applying the prespecified criterion to all ten participants, none of the four metrics predicted Stand-vs-Walk accuracy (M1 ρ = +.13, M2 ρ = −.01, M3 ρ = +.19, M4 ρ = +.16; all </w:t>
      </w:r>
      <w:r>
        <w:rPr>
          <w:i/>
        </w:rPr>
        <w:t>p</w:t>
      </w:r>
      <w:r>
        <w:rPr/>
        <w:t xml:space="preserve"> &gt; .60), and M4 ran </w:t>
      </w:r>
      <w:r>
        <w:rPr>
          <w:i/>
        </w:rPr>
        <w:t>backwards</w:t>
      </w:r>
      <w:r>
        <w:rPr/>
        <w:t>: greater EMG contamination accompanied higher accuracy. The two best decoders were the two most broadband participants, while the participant with the cleanest sensorimotor signature sat at chance [</w:t>
      </w:r>
      <w:r>
        <w:rPr>
          <w:rFonts w:ascii="Consolas" w:hAnsi="Consolas"/>
          <w:sz w:val="18"/>
        </w:rPr>
        <w:t>11_neuro_criterion.py</w:t>
      </w:r>
      <w:r>
        <w:rPr/>
        <w:t xml:space="preserve">]. For Rest vs Walk the criterion behaved better (three of four metrics in the predicted direction; central focus ρ = +.55, </w:t>
      </w:r>
      <w:r>
        <w:rPr>
          <w:i/>
        </w:rPr>
        <w:t>p</w:t>
      </w:r>
      <w:r>
        <w:rPr/>
        <w:t xml:space="preserve"> = .097).</w:t>
      </w:r>
    </w:p>
    <w:p>
      <w:pPr>
        <w:jc w:val="both"/>
      </w:pPr>
      <w:r>
        <w:rPr>
          <w:i/>
        </w:rPr>
        <w:t>With n = 10 and twelve correlations none reaches p &lt; .05; these are descriptive. The load-bearing claim is the absence of support together with the sign of M4.</w:t>
      </w:r>
    </w:p>
    <w:p>
      <w:pPr>
        <w:pStyle w:val="Heading3"/>
        <w:spacing w:before="200" w:after="80"/>
      </w:pPr>
      <w:r>
        <w:rPr>
          <w:rFonts w:ascii="Times New Roman" w:hAnsi="Times New Roman"/>
          <w:color w:val="1F2328"/>
          <w:sz w:val="23"/>
        </w:rPr>
        <w:t>F. Manipulation check</w:t>
      </w:r>
    </w:p>
    <w:p>
      <w:pPr>
        <w:jc w:val="both"/>
      </w:pPr>
      <w:r>
        <w:rPr/>
        <w:t xml:space="preserve">Relative to the pre-trial fixation, all three conditions showed −1.3 to −2.9 dB, replicating the standard ERD phenomenon [4]. However, against the </w:t>
      </w:r>
      <w:r>
        <w:rPr>
          <w:b/>
        </w:rPr>
        <w:t>visually matched Rest condition</w:t>
      </w:r>
      <w:r>
        <w:rPr/>
        <w:t xml:space="preserve">, motor imagery produced a mu power </w:t>
      </w:r>
      <w:r>
        <w:rPr>
          <w:i/>
        </w:rPr>
        <w:t>increase</w:t>
      </w:r>
      <w:r>
        <w:rPr/>
        <w:t xml:space="preserve"> of +0.55 dB (Stand, </w:t>
      </w:r>
      <w:r>
        <w:rPr>
          <w:i/>
        </w:rPr>
        <w:t>p</w:t>
      </w:r>
      <w:r>
        <w:rPr/>
        <w:t xml:space="preserve"> = .014) and +0.77 dB (Walk, </w:t>
      </w:r>
      <w:r>
        <w:rPr>
          <w:i/>
        </w:rPr>
        <w:t>p</w:t>
      </w:r>
      <w:r>
        <w:rPr/>
        <w:t xml:space="preserve"> = .008), uniform across electrodes, with no beta effect; only 1/10 participants showed the expected desynchronisation [</w:t>
      </w:r>
      <w:r>
        <w:rPr>
          <w:rFonts w:ascii="Consolas" w:hAnsi="Consolas"/>
          <w:sz w:val="18"/>
        </w:rPr>
        <w:t>12_manipulation_check.py</w:t>
      </w:r>
      <w:r>
        <w:rPr/>
        <w:t>].</w:t>
      </w:r>
    </w:p>
    <w:p>
      <w:pPr>
        <w:jc w:val="both"/>
      </w:pPr>
      <w:r>
        <w:rPr/>
        <w:t>Direction, topography and band are all inconsistent with sensorimotor activation. We attribute this to the Rest instruction, which demanded active visual fixation while the imagery conditions implicitly invited defocusing — a manipulation that raises alpha globally.</w:t>
      </w:r>
    </w:p>
    <w:p>
      <w:pPr>
        <w:jc w:val="both"/>
      </w:pPr>
      <w:r>
        <w:rPr/>
        <w:t xml:space="preserve">This bears on Q1 beyond the attribution question. A decoder that separates rest from imagery by visual engagement has no path to deployment: an exoskeleton user is not fixating a monitor, and the confound that carries the 65 % here would be absent. The Rest-versus-imagery result should therefore be read as an </w:t>
      </w:r>
      <w:r>
        <w:rPr>
          <w:b/>
        </w:rPr>
        <w:t>upper bound obtained under a favourable confound</w:t>
      </w:r>
      <w:r>
        <w:rPr/>
        <w:t>, not as an estimate of what the same montage would achieve in use. Section IV-E states the paradigm change this requires.</w:t>
      </w:r>
    </w:p>
    <w:p>
      <w:pPr>
        <w:pStyle w:val="Heading3"/>
        <w:spacing w:before="200" w:after="80"/>
      </w:pPr>
      <w:r>
        <w:rPr>
          <w:rFonts w:ascii="Times New Roman" w:hAnsi="Times New Roman"/>
          <w:color w:val="1F2328"/>
          <w:sz w:val="23"/>
        </w:rPr>
        <w:t>G. Ceiling analyses</w:t>
      </w:r>
    </w:p>
    <w:p>
      <w:pPr>
        <w:jc w:val="both"/>
      </w:pPr>
      <w:r>
        <w:rPr>
          <w:b/>
        </w:rPr>
        <w:t>Trials.</w:t>
      </w:r>
      <w:r>
        <w:rPr/>
        <w:t xml:space="preserve"> Accuracy rose +5.5 points per decade of training trials for Stand vs Walk (95 % CI +2.1 to +8.8) and +9.0 for three-class (CI +6.5 to +11.5). Doubling the session is therefore worth ≈ +1.7 and +2.7 points respectively. Extrapolating log-linearly from the largest measured point, reaching the ~70 % usability threshold would require </w:t>
      </w:r>
      <w:r>
        <w:rPr>
          <w:b/>
        </w:rPr>
        <w:t>≈ 10 200 trials per class</w:t>
      </w:r>
      <w:r>
        <w:rPr/>
        <w:t xml:space="preserve"> for Stand vs Walk and </w:t>
      </w:r>
      <w:r>
        <w:rPr>
          <w:b/>
        </w:rPr>
        <w:t>≈ 13 800</w:t>
      </w:r>
      <w:r>
        <w:rPr/>
        <w:t xml:space="preserve"> for three-class [</w:t>
      </w:r>
      <w:r>
        <w:rPr>
          <w:rFonts w:ascii="Consolas" w:hAnsi="Consolas"/>
          <w:sz w:val="18"/>
        </w:rPr>
        <w:t>06_ceiling.py</w:t>
      </w:r>
      <w:r>
        <w:rPr/>
        <w:t>].</w:t>
      </w:r>
    </w:p>
    <w:p>
      <w:pPr>
        <w:jc w:val="both"/>
      </w:pPr>
      <w:r>
        <w:rPr>
          <w:i/>
        </w:rPr>
        <w:t>These two figures extrapolate roughly 200-fold beyond the observed range (10–50 trials per class) and should be read as an order-of-magnitude statement, not an estimate. Log-linear growth is assumed, not verified, and empirical learning curves typically saturate rather than continue — which would make the true requirement larger, not smaller. The measured quantity, and the one the argument rests on, is the slope itself: +5.5 points per decade (CI +2.1 to +8.8), against a 17-point gap to threshold.</w:t>
      </w:r>
    </w:p>
    <w:p>
      <w:pPr>
        <w:jc w:val="both"/>
      </w:pPr>
      <w:r>
        <w:rPr>
          <w:b/>
        </w:rPr>
        <w:t>Electrodes.</w:t>
      </w:r>
      <w:r>
        <w:rPr/>
        <w:t xml:space="preserve"> Under greedy forward selection with the subset chosen inside the training fold, accuracy saturated at three electrodes (Stand vs Walk: 52.0 → 53.3 → 51.5 % for one, three and eight electrodes; three-class: 41.7 → 47.1 → 45.8 %). The most frequently selected first electrodes were CP3/CP4/CPz. The remaining five electrodes of this montage add nothing — they lie within one spatial correlation blob.</w:t>
      </w:r>
    </w:p>
    <w:p>
      <w:pPr>
        <w:pStyle w:val="Heading3"/>
        <w:spacing w:before="200" w:after="80"/>
      </w:pPr>
      <w:r>
        <w:rPr>
          <w:rFonts w:ascii="Times New Roman" w:hAnsi="Times New Roman"/>
          <w:color w:val="1F2328"/>
          <w:sz w:val="23"/>
        </w:rPr>
        <w:t>H. Physiological account of the null: why these recordings contain nothing to decode</w:t>
      </w:r>
    </w:p>
    <w:p>
      <w:pPr>
        <w:jc w:val="both"/>
      </w:pPr>
      <w:r>
        <w:rPr/>
        <w:t xml:space="preserve">Sections III-B to III-D establish that Stand and Walk cannot be </w:t>
      </w:r>
      <w:r>
        <w:rPr>
          <w:i/>
        </w:rPr>
        <w:t>decoded</w:t>
      </w:r>
      <w:r>
        <w:rPr/>
        <w:t>. This section addresses the prior question — do they produce different patterns on the scalp at all? — and then asks what about the montage prevents the difference from being resolved.</w:t>
      </w:r>
    </w:p>
    <w:p>
      <w:pPr>
        <w:jc w:val="both"/>
      </w:pPr>
      <w:r>
        <w:rPr>
          <w:b/>
        </w:rPr>
        <w:t>H.1 The recorded topographies are not distinguishable from the noise floor.</w:t>
      </w:r>
      <w:r>
        <w:rPr/>
        <w:t xml:space="preserve"> The tempting comparison, correlating the Stand-minus-Rest topography with the Walk-minus-Rest topography, is invalid: both contain the term −Rest and are correlated by construction. Measured here, that comparison returns r = +0.67, but re-referencing the same data moves it to +0.47 (Stand as baseline) and +0.19 (Walk as baseline), so it is dominated by the shared baseline.</w:t>
      </w:r>
    </w:p>
    <w:p>
      <w:pPr>
        <w:jc w:val="both"/>
      </w:pPr>
      <w:r>
        <w:rPr/>
        <w:t>Instead each contrast is compared against that participant's own noise floor with matched sample size. Trials of one condition are split at random into two halves; the distance between those two half-topographies is pure noise. The between-class distance uses halves of the same size, so the noise contribution is identical by construction and no baseline is shared. Ratio = 1.00 means the two conditions differ no more than two random halves of a single condition do (200 splits per participant) [</w:t>
      </w:r>
      <w:r>
        <w:rPr>
          <w:rFonts w:ascii="Consolas" w:hAnsi="Consolas"/>
          <w:sz w:val="18"/>
        </w:rPr>
        <w:t>19_topography_floor.py</w:t>
      </w:r>
      <w:r>
        <w:rPr/>
        <w:t>].</w:t>
      </w:r>
    </w:p>
    <w:p>
      <w:pPr>
        <w:jc w:val="both"/>
      </w:pPr>
      <w:r>
        <w:rPr>
          <w:b/>
        </w:rPr>
        <w:t>TABLE IIIa — Topographic distance relative to the within-condition noise floor</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43"/>
            <w:shd w:val="clear" w:fill="EEF2F7"/>
          </w:tcPr>
          <w:p>
            <w:pPr>
              <w:spacing w:before="20" w:after="20"/>
            </w:pPr>
            <w:r>
              <w:rPr>
                <w:rFonts w:ascii="Times New Roman" w:hAnsi="Times New Roman"/>
                <w:b/>
                <w:sz w:val="17"/>
              </w:rPr>
            </w:r>
            <w:r>
              <w:rPr>
                <w:rFonts w:ascii="Times New Roman" w:hAnsi="Times New Roman"/>
                <w:b/>
                <w:sz w:val="17"/>
              </w:rPr>
              <w:t>Contrast</w:t>
            </w:r>
          </w:p>
        </w:tc>
        <w:tc>
          <w:tcPr>
            <w:tcW w:type="dxa" w:w="1843"/>
            <w:shd w:val="clear" w:fill="EEF2F7"/>
          </w:tcPr>
          <w:p>
            <w:pPr>
              <w:spacing w:before="20" w:after="20"/>
            </w:pPr>
            <w:r>
              <w:rPr>
                <w:rFonts w:ascii="Times New Roman" w:hAnsi="Times New Roman"/>
                <w:b/>
                <w:sz w:val="17"/>
              </w:rPr>
            </w:r>
            <w:r>
              <w:rPr>
                <w:rFonts w:ascii="Times New Roman" w:hAnsi="Times New Roman"/>
                <w:b/>
                <w:sz w:val="17"/>
              </w:rPr>
              <w:t>mu 8–13 Hz, ratio [95 % CI]</w:t>
            </w:r>
          </w:p>
        </w:tc>
        <w:tc>
          <w:tcPr>
            <w:tcW w:type="dxa" w:w="1843"/>
            <w:shd w:val="clear" w:fill="EEF2F7"/>
          </w:tcPr>
          <w:p>
            <w:pPr>
              <w:spacing w:before="20" w:after="20"/>
            </w:pPr>
            <w:r>
              <w:rPr>
                <w:rFonts w:ascii="Times New Roman" w:hAnsi="Times New Roman"/>
                <w:b/>
                <w:sz w:val="17"/>
              </w:rPr>
            </w:r>
            <w:r>
              <w:rPr>
                <w:rFonts w:ascii="Times New Roman" w:hAnsi="Times New Roman"/>
                <w:b/>
                <w:i/>
                <w:sz w:val="17"/>
              </w:rPr>
              <w:t>p</w:t>
            </w:r>
          </w:p>
        </w:tc>
        <w:tc>
          <w:tcPr>
            <w:tcW w:type="dxa" w:w="1843"/>
            <w:shd w:val="clear" w:fill="EEF2F7"/>
          </w:tcPr>
          <w:p>
            <w:pPr>
              <w:spacing w:before="20" w:after="20"/>
            </w:pPr>
            <w:r>
              <w:rPr>
                <w:rFonts w:ascii="Times New Roman" w:hAnsi="Times New Roman"/>
                <w:b/>
                <w:sz w:val="17"/>
              </w:rPr>
            </w:r>
            <w:r>
              <w:rPr>
                <w:rFonts w:ascii="Times New Roman" w:hAnsi="Times New Roman"/>
                <w:b/>
                <w:sz w:val="17"/>
              </w:rPr>
              <w:t>beta 13–30 Hz, ratio [95 % CI]</w:t>
            </w:r>
          </w:p>
        </w:tc>
        <w:tc>
          <w:tcPr>
            <w:tcW w:type="dxa" w:w="1843"/>
            <w:shd w:val="clear" w:fill="EEF2F7"/>
          </w:tcPr>
          <w:p>
            <w:pPr>
              <w:spacing w:before="20" w:after="20"/>
            </w:pPr>
            <w:r>
              <w:rPr>
                <w:rFonts w:ascii="Times New Roman" w:hAnsi="Times New Roman"/>
                <w:b/>
                <w:sz w:val="17"/>
              </w:rPr>
            </w:r>
            <w:r>
              <w:rPr>
                <w:rFonts w:ascii="Times New Roman" w:hAnsi="Times New Roman"/>
                <w:b/>
                <w:i/>
                <w:sz w:val="17"/>
              </w:rPr>
              <w:t>p</w:t>
            </w:r>
          </w:p>
        </w:tc>
      </w:tr>
      <w:tr>
        <w:tc>
          <w:tcPr>
            <w:tcW w:type="dxa" w:w="1843"/>
          </w:tcPr>
          <w:p>
            <w:pPr>
              <w:spacing w:before="20" w:after="20"/>
            </w:pPr>
            <w:r>
              <w:rPr>
                <w:rFonts w:ascii="Times New Roman" w:hAnsi="Times New Roman"/>
                <w:sz w:val="17"/>
              </w:rPr>
            </w:r>
            <w:r>
              <w:rPr>
                <w:rFonts w:ascii="Times New Roman" w:hAnsi="Times New Roman"/>
                <w:sz w:val="17"/>
              </w:rPr>
              <w:t>Rest vs Walk</w:t>
            </w:r>
          </w:p>
        </w:tc>
        <w:tc>
          <w:tcPr>
            <w:tcW w:type="dxa" w:w="1843"/>
          </w:tcPr>
          <w:p>
            <w:pPr>
              <w:spacing w:before="20" w:after="20"/>
            </w:pPr>
            <w:r>
              <w:rPr>
                <w:rFonts w:ascii="Times New Roman" w:hAnsi="Times New Roman"/>
                <w:sz w:val="17"/>
              </w:rPr>
            </w:r>
            <w:r>
              <w:rPr>
                <w:rFonts w:ascii="Times New Roman" w:hAnsi="Times New Roman"/>
                <w:b/>
                <w:sz w:val="17"/>
              </w:rPr>
              <w:t>1.78</w:t>
            </w:r>
            <w:r>
              <w:rPr>
                <w:rFonts w:ascii="Times New Roman" w:hAnsi="Times New Roman"/>
                <w:sz w:val="17"/>
              </w:rPr>
              <w:t xml:space="preserve"> [1.18, 2.38]</w:t>
            </w:r>
          </w:p>
        </w:tc>
        <w:tc>
          <w:tcPr>
            <w:tcW w:type="dxa" w:w="1843"/>
          </w:tcPr>
          <w:p>
            <w:pPr>
              <w:spacing w:before="20" w:after="20"/>
            </w:pPr>
            <w:r>
              <w:rPr>
                <w:rFonts w:ascii="Times New Roman" w:hAnsi="Times New Roman"/>
                <w:sz w:val="17"/>
              </w:rPr>
            </w:r>
            <w:r>
              <w:rPr>
                <w:rFonts w:ascii="Times New Roman" w:hAnsi="Times New Roman"/>
                <w:b/>
                <w:sz w:val="17"/>
              </w:rPr>
              <w:t>.023</w:t>
            </w:r>
          </w:p>
        </w:tc>
        <w:tc>
          <w:tcPr>
            <w:tcW w:type="dxa" w:w="1843"/>
          </w:tcPr>
          <w:p>
            <w:pPr>
              <w:spacing w:before="20" w:after="20"/>
            </w:pPr>
            <w:r>
              <w:rPr>
                <w:rFonts w:ascii="Times New Roman" w:hAnsi="Times New Roman"/>
                <w:sz w:val="17"/>
              </w:rPr>
            </w:r>
            <w:r>
              <w:rPr>
                <w:rFonts w:ascii="Times New Roman" w:hAnsi="Times New Roman"/>
                <w:sz w:val="17"/>
              </w:rPr>
              <w:t>1.29 [1.01, 1.57]</w:t>
            </w:r>
          </w:p>
        </w:tc>
        <w:tc>
          <w:tcPr>
            <w:tcW w:type="dxa" w:w="1843"/>
          </w:tcPr>
          <w:p>
            <w:pPr>
              <w:spacing w:before="20" w:after="20"/>
            </w:pPr>
            <w:r>
              <w:rPr>
                <w:rFonts w:ascii="Times New Roman" w:hAnsi="Times New Roman"/>
                <w:sz w:val="17"/>
              </w:rPr>
            </w:r>
            <w:r>
              <w:rPr>
                <w:rFonts w:ascii="Times New Roman" w:hAnsi="Times New Roman"/>
                <w:sz w:val="17"/>
              </w:rPr>
              <w:t>.079</w:t>
            </w:r>
          </w:p>
        </w:tc>
      </w:tr>
      <w:tr>
        <w:tc>
          <w:tcPr>
            <w:tcW w:type="dxa" w:w="1843"/>
          </w:tcPr>
          <w:p>
            <w:pPr>
              <w:spacing w:before="20" w:after="20"/>
            </w:pPr>
            <w:r>
              <w:rPr>
                <w:rFonts w:ascii="Times New Roman" w:hAnsi="Times New Roman"/>
                <w:sz w:val="17"/>
              </w:rPr>
            </w:r>
            <w:r>
              <w:rPr>
                <w:rFonts w:ascii="Times New Roman" w:hAnsi="Times New Roman"/>
                <w:sz w:val="17"/>
              </w:rPr>
              <w:t>Rest vs Stand</w:t>
            </w:r>
          </w:p>
        </w:tc>
        <w:tc>
          <w:tcPr>
            <w:tcW w:type="dxa" w:w="1843"/>
          </w:tcPr>
          <w:p>
            <w:pPr>
              <w:spacing w:before="20" w:after="20"/>
            </w:pPr>
            <w:r>
              <w:rPr>
                <w:rFonts w:ascii="Times New Roman" w:hAnsi="Times New Roman"/>
                <w:sz w:val="17"/>
              </w:rPr>
            </w:r>
            <w:r>
              <w:rPr>
                <w:rFonts w:ascii="Times New Roman" w:hAnsi="Times New Roman"/>
                <w:sz w:val="17"/>
              </w:rPr>
              <w:t>1.51 [0.85, 2.18]</w:t>
            </w:r>
          </w:p>
        </w:tc>
        <w:tc>
          <w:tcPr>
            <w:tcW w:type="dxa" w:w="1843"/>
          </w:tcPr>
          <w:p>
            <w:pPr>
              <w:spacing w:before="20" w:after="20"/>
            </w:pPr>
            <w:r>
              <w:rPr>
                <w:rFonts w:ascii="Times New Roman" w:hAnsi="Times New Roman"/>
                <w:sz w:val="17"/>
              </w:rPr>
            </w:r>
            <w:r>
              <w:rPr>
                <w:rFonts w:ascii="Times New Roman" w:hAnsi="Times New Roman"/>
                <w:sz w:val="17"/>
              </w:rPr>
              <w:t>.118</w:t>
            </w:r>
          </w:p>
        </w:tc>
        <w:tc>
          <w:tcPr>
            <w:tcW w:type="dxa" w:w="1843"/>
          </w:tcPr>
          <w:p>
            <w:pPr>
              <w:spacing w:before="20" w:after="20"/>
            </w:pPr>
            <w:r>
              <w:rPr>
                <w:rFonts w:ascii="Times New Roman" w:hAnsi="Times New Roman"/>
                <w:sz w:val="17"/>
              </w:rPr>
            </w:r>
            <w:r>
              <w:rPr>
                <w:rFonts w:ascii="Times New Roman" w:hAnsi="Times New Roman"/>
                <w:sz w:val="17"/>
              </w:rPr>
              <w:t>1.39 [0.80, 1.98]</w:t>
            </w:r>
          </w:p>
        </w:tc>
        <w:tc>
          <w:tcPr>
            <w:tcW w:type="dxa" w:w="1843"/>
          </w:tcPr>
          <w:p>
            <w:pPr>
              <w:spacing w:before="20" w:after="20"/>
            </w:pPr>
            <w:r>
              <w:rPr>
                <w:rFonts w:ascii="Times New Roman" w:hAnsi="Times New Roman"/>
                <w:sz w:val="17"/>
              </w:rPr>
            </w:r>
            <w:r>
              <w:rPr>
                <w:rFonts w:ascii="Times New Roman" w:hAnsi="Times New Roman"/>
                <w:sz w:val="17"/>
              </w:rPr>
              <w:t>.205</w:t>
            </w:r>
          </w:p>
        </w:tc>
      </w:tr>
      <w:tr>
        <w:tc>
          <w:tcPr>
            <w:tcW w:type="dxa" w:w="1843"/>
          </w:tcPr>
          <w:p>
            <w:pPr>
              <w:spacing w:before="20" w:after="20"/>
            </w:pPr>
            <w:r>
              <w:rPr>
                <w:rFonts w:ascii="Times New Roman" w:hAnsi="Times New Roman"/>
                <w:sz w:val="17"/>
              </w:rPr>
            </w:r>
            <w:r>
              <w:rPr>
                <w:rFonts w:ascii="Times New Roman" w:hAnsi="Times New Roman"/>
                <w:b/>
                <w:sz w:val="17"/>
              </w:rPr>
              <w:t>Stand vs Walk</w:t>
            </w:r>
          </w:p>
        </w:tc>
        <w:tc>
          <w:tcPr>
            <w:tcW w:type="dxa" w:w="1843"/>
          </w:tcPr>
          <w:p>
            <w:pPr>
              <w:spacing w:before="20" w:after="20"/>
            </w:pPr>
            <w:r>
              <w:rPr>
                <w:rFonts w:ascii="Times New Roman" w:hAnsi="Times New Roman"/>
                <w:sz w:val="17"/>
              </w:rPr>
            </w:r>
            <w:r>
              <w:rPr>
                <w:rFonts w:ascii="Times New Roman" w:hAnsi="Times New Roman"/>
                <w:b/>
                <w:sz w:val="17"/>
              </w:rPr>
              <w:t>1.12</w:t>
            </w:r>
            <w:r>
              <w:rPr>
                <w:rFonts w:ascii="Times New Roman" w:hAnsi="Times New Roman"/>
                <w:sz w:val="17"/>
              </w:rPr>
              <w:t xml:space="preserve"> [0.70, 1.55]</w:t>
            </w:r>
          </w:p>
        </w:tc>
        <w:tc>
          <w:tcPr>
            <w:tcW w:type="dxa" w:w="1843"/>
          </w:tcPr>
          <w:p>
            <w:pPr>
              <w:spacing w:before="20" w:after="20"/>
            </w:pPr>
            <w:r>
              <w:rPr>
                <w:rFonts w:ascii="Times New Roman" w:hAnsi="Times New Roman"/>
                <w:sz w:val="17"/>
              </w:rPr>
            </w:r>
            <w:r>
              <w:rPr>
                <w:rFonts w:ascii="Times New Roman" w:hAnsi="Times New Roman"/>
                <w:sz w:val="17"/>
              </w:rPr>
              <w:t>.463</w:t>
            </w:r>
          </w:p>
        </w:tc>
        <w:tc>
          <w:tcPr>
            <w:tcW w:type="dxa" w:w="1843"/>
          </w:tcPr>
          <w:p>
            <w:pPr>
              <w:spacing w:before="20" w:after="20"/>
            </w:pPr>
            <w:r>
              <w:rPr>
                <w:rFonts w:ascii="Times New Roman" w:hAnsi="Times New Roman"/>
                <w:sz w:val="17"/>
              </w:rPr>
            </w:r>
            <w:r>
              <w:rPr>
                <w:rFonts w:ascii="Times New Roman" w:hAnsi="Times New Roman"/>
                <w:b/>
                <w:sz w:val="17"/>
              </w:rPr>
              <w:t>1.07</w:t>
            </w:r>
            <w:r>
              <w:rPr>
                <w:rFonts w:ascii="Times New Roman" w:hAnsi="Times New Roman"/>
                <w:sz w:val="17"/>
              </w:rPr>
              <w:t xml:space="preserve"> [0.83, 1.31]</w:t>
            </w:r>
          </w:p>
        </w:tc>
        <w:tc>
          <w:tcPr>
            <w:tcW w:type="dxa" w:w="1843"/>
          </w:tcPr>
          <w:p>
            <w:pPr>
              <w:spacing w:before="20" w:after="20"/>
            </w:pPr>
            <w:r>
              <w:rPr>
                <w:rFonts w:ascii="Times New Roman" w:hAnsi="Times New Roman"/>
                <w:sz w:val="17"/>
              </w:rPr>
            </w:r>
            <w:r>
              <w:rPr>
                <w:rFonts w:ascii="Times New Roman" w:hAnsi="Times New Roman"/>
                <w:sz w:val="17"/>
              </w:rPr>
              <w:t>.683</w:t>
            </w:r>
          </w:p>
        </w:tc>
      </w:tr>
    </w:tbl>
    <w:p/>
    <w:p>
      <w:pPr>
        <w:jc w:val="both"/>
      </w:pPr>
      <w:r>
        <w:rPr>
          <w:i/>
        </w:rPr>
        <w:t xml:space="preserve">Intervals are 95 % CIs on the mean ratio across the ten participants; the </w:t>
      </w:r>
      <w:r>
        <w:rPr/>
        <w:t>p</w:t>
      </w:r>
      <w:r>
        <w:rPr>
          <w:i/>
        </w:rPr>
        <w:t xml:space="preserve">-values come from a paired test on the underlying between- and within-condition distances. The two address slightly different nulls (ratio = 1 versus difference = 0), which is why the Rest-vs-Walk beta interval excludes 1.0 while its paired </w:t>
      </w:r>
      <w:r>
        <w:rPr/>
        <w:t>p</w:t>
      </w:r>
      <w:r>
        <w:rPr>
          <w:i/>
        </w:rPr>
        <w:t xml:space="preserve"> is .079; we treat that cell as inconclusive. Only the Stand-vs-Walk intervals are centred on the noise floor in both bands, and only Rest-vs-Walk in mu is unambiguous by both criteria.</w:t>
      </w:r>
    </w:p>
    <w:p>
      <w:pPr>
        <w:jc w:val="both"/>
      </w:pPr>
      <w:r>
        <w:rPr/>
        <w:t xml:space="preserve">The ordering reproduces the decoding results exactly (8/10, 5/10 and 1/10 individually significant), from a measurement that uses no classifier and no cross-validation. Six of ten participants have a Stand-vs-Walk ratio below 1.0, i.e. the between-class distance is </w:t>
      </w:r>
      <w:r>
        <w:rPr>
          <w:i/>
        </w:rPr>
        <w:t>smaller</w:t>
      </w:r>
      <w:r>
        <w:rPr/>
        <w:t xml:space="preserve"> than their own noise. The single participant above 2.0 is the one whose effect Section III-E identifies as arousal and muscle tone.</w:t>
      </w:r>
    </w:p>
    <w:p>
      <w:pPr>
        <w:jc w:val="both"/>
      </w:pPr>
      <w:r>
        <w:rPr>
          <w:b/>
        </w:rPr>
        <w:t>This locates the failure.</w:t>
      </w:r>
      <w:r>
        <w:rPr/>
        <w:t xml:space="preserve"> In these recordings, standing and walking imagery do not produce different scalp patterns in the first place. The failure is therefore not a limitation of the decoder or of the trial count at the decoding stage; there is no pattern difference for a decoder to find.</w:t>
      </w:r>
    </w:p>
    <w:p>
      <w:pPr>
        <w:jc w:val="both"/>
      </w:pPr>
      <w:r>
        <w:rPr>
          <w:b/>
        </w:rPr>
        <w:t>Rival explanations, and which of them survive.</w:t>
      </w:r>
      <w:r>
        <w:rPr/>
        <w:t xml:space="preserve"> "No pattern difference was recorded" is initially consistent with three claims: that the recording was unusable, that standing and walking imagery are not separable on this montage, and that these ten participants did not generate separable imagery.</w:t>
      </w:r>
    </w:p>
    <w:p>
      <w:pPr>
        <w:jc w:val="both"/>
      </w:pPr>
      <w:r>
        <w:rPr/>
        <w:t>The first is excluded by the positive control of Section III-I: on the same electrodes, amplifier and decoder, executed movements separate at 91 % in every participant, so no result here can be attributed to a broken pipeline or an unusable recording.</w:t>
      </w:r>
    </w:p>
    <w:p>
      <w:pPr>
        <w:jc w:val="both"/>
      </w:pPr>
      <w:r>
        <w:rPr/>
        <w:t>The third cannot be excluded. Participants were not screened for imagery ability, received no feedback training, and completed no imagery-vividness questionnaire, so task compliance was never measured; the manipulation check in Section III-F is the only available probe and only 1/10 showed the expected desynchronisation. Motor execution demonstrates that a participant can perform, not that they imagined. We therefore cannot separate a montage that does not resolve the difference from participants who did not produce one, and Section IV-E lists the design changes that would.</w:t>
      </w:r>
    </w:p>
    <w:p>
      <w:pPr>
        <w:jc w:val="both"/>
      </w:pPr>
      <w:r>
        <w:rPr>
          <w:b/>
        </w:rPr>
        <w:t>H.2 The montage is nonetheless pointed at the right place.</w:t>
      </w:r>
      <w:r>
        <w:rPr/>
        <w:t xml:space="preserve"> Single-electrode decoding ranks the medial sites above the frontolateral ones in every contrast (Cz 58.1 % and CPz 57.3 % highest, C4 54.8 % and FC4 54.4 % lowest, averaged across contrasts) — the ordering expected of a medial foot representation, not of a lateral generator.</w:t>
      </w:r>
    </w:p>
    <w:p>
      <w:pPr>
        <w:jc w:val="both"/>
      </w:pPr>
      <w:r>
        <w:rPr>
          <w:b/>
        </w:rPr>
        <w:t>H.3 Adding explicit anatomical constraints does not help, but misdirecting them costs.</w:t>
      </w:r>
      <w:r>
        <w:rPr/>
        <w:t xml:space="preserve"> We compared the generic pipeline against four physiologically constrained variants: a foot-area surface Laplacian (Cz − mean(C3, C4, CPz) and the corresponding derivations at CPz, C3, C4), individually estimated mu and beta bands (label-free spectral peaks; mu 9.0–13.0 Hz and beta 15.0–28.5 Hz across participants, against a textbook 8–13 / 13–30 for everyone), CSP restricted to the four medial derivations, and explicit named band-power features. A fifth variant is the control: the identical machinery with the Laplacian ring centred on the </w:t>
      </w:r>
      <w:r>
        <w:rPr>
          <w:i/>
        </w:rPr>
        <w:t>frontolateral</w:t>
      </w:r>
      <w:r>
        <w:rPr/>
        <w:t xml:space="preserve"> electrodes instead, where lower-limb imagery has no anatomical reason to be [</w:t>
      </w:r>
      <w:r>
        <w:rPr>
          <w:rFonts w:ascii="Consolas" w:hAnsi="Consolas"/>
          <w:sz w:val="18"/>
        </w:rPr>
        <w:t>18_physio_classifier.py</w:t>
      </w:r>
      <w:r>
        <w:rPr/>
        <w:t>].</w:t>
      </w:r>
    </w:p>
    <w:p>
      <w:pPr>
        <w:jc w:val="both"/>
      </w:pPr>
      <w:r>
        <w:rPr>
          <w:b/>
        </w:rPr>
        <w:t>TABLE IIIb — Physiologically constrained variants (5-fold, identical folds)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shd w:val="clear" w:fill="EEF2F7"/>
          </w:tcPr>
          <w:p>
            <w:pPr>
              <w:spacing w:before="20" w:after="20"/>
            </w:pPr>
            <w:r>
              <w:rPr>
                <w:rFonts w:ascii="Times New Roman" w:hAnsi="Times New Roman"/>
                <w:b/>
                <w:sz w:val="17"/>
              </w:rPr>
            </w:r>
            <w:r>
              <w:rPr>
                <w:rFonts w:ascii="Times New Roman" w:hAnsi="Times New Roman"/>
                <w:b/>
                <w:sz w:val="17"/>
              </w:rPr>
              <w:t>Model</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Rest vs Stand</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Rest vs Walk</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Stand vs Walk</w:t>
            </w:r>
          </w:p>
        </w:tc>
      </w:tr>
      <w:tr>
        <w:tc>
          <w:tcPr>
            <w:tcW w:type="dxa" w:w="2304"/>
          </w:tcPr>
          <w:p>
            <w:pPr>
              <w:spacing w:before="20" w:after="20"/>
            </w:pPr>
            <w:r>
              <w:rPr>
                <w:rFonts w:ascii="Times New Roman" w:hAnsi="Times New Roman"/>
                <w:sz w:val="17"/>
              </w:rPr>
            </w:r>
            <w:r>
              <w:rPr>
                <w:rFonts w:ascii="Times New Roman" w:hAnsi="Times New Roman"/>
                <w:sz w:val="17"/>
              </w:rPr>
              <w:t>A generic (as used throughout)</w:t>
            </w:r>
          </w:p>
        </w:tc>
        <w:tc>
          <w:tcPr>
            <w:tcW w:type="dxa" w:w="2304"/>
          </w:tcPr>
          <w:p>
            <w:pPr>
              <w:spacing w:before="20" w:after="20"/>
            </w:pPr>
            <w:r>
              <w:rPr>
                <w:rFonts w:ascii="Times New Roman" w:hAnsi="Times New Roman"/>
                <w:sz w:val="17"/>
              </w:rPr>
            </w:r>
            <w:r>
              <w:rPr>
                <w:rFonts w:ascii="Times New Roman" w:hAnsi="Times New Roman"/>
                <w:sz w:val="17"/>
              </w:rPr>
              <w:t>62.7 ± 9.8 %</w:t>
            </w:r>
          </w:p>
        </w:tc>
        <w:tc>
          <w:tcPr>
            <w:tcW w:type="dxa" w:w="2304"/>
          </w:tcPr>
          <w:p>
            <w:pPr>
              <w:spacing w:before="20" w:after="20"/>
            </w:pPr>
            <w:r>
              <w:rPr>
                <w:rFonts w:ascii="Times New Roman" w:hAnsi="Times New Roman"/>
                <w:sz w:val="17"/>
              </w:rPr>
            </w:r>
            <w:r>
              <w:rPr>
                <w:rFonts w:ascii="Times New Roman" w:hAnsi="Times New Roman"/>
                <w:sz w:val="17"/>
              </w:rPr>
              <w:t>63.5 ± 9.7 %</w:t>
            </w:r>
          </w:p>
        </w:tc>
        <w:tc>
          <w:tcPr>
            <w:tcW w:type="dxa" w:w="2304"/>
          </w:tcPr>
          <w:p>
            <w:pPr>
              <w:spacing w:before="20" w:after="20"/>
            </w:pPr>
            <w:r>
              <w:rPr>
                <w:rFonts w:ascii="Times New Roman" w:hAnsi="Times New Roman"/>
                <w:sz w:val="17"/>
              </w:rPr>
            </w:r>
            <w:r>
              <w:rPr>
                <w:rFonts w:ascii="Times New Roman" w:hAnsi="Times New Roman"/>
                <w:sz w:val="17"/>
              </w:rPr>
              <w:t>54.3 ± 5.2 %</w:t>
            </w:r>
          </w:p>
        </w:tc>
      </w:tr>
      <w:tr>
        <w:tc>
          <w:tcPr>
            <w:tcW w:type="dxa" w:w="2304"/>
          </w:tcPr>
          <w:p>
            <w:pPr>
              <w:spacing w:before="20" w:after="20"/>
            </w:pPr>
            <w:r>
              <w:rPr>
                <w:rFonts w:ascii="Times New Roman" w:hAnsi="Times New Roman"/>
                <w:sz w:val="17"/>
              </w:rPr>
            </w:r>
            <w:r>
              <w:rPr>
                <w:rFonts w:ascii="Times New Roman" w:hAnsi="Times New Roman"/>
                <w:sz w:val="17"/>
              </w:rPr>
              <w:t>B + foot-area Laplacian</w:t>
            </w:r>
          </w:p>
        </w:tc>
        <w:tc>
          <w:tcPr>
            <w:tcW w:type="dxa" w:w="2304"/>
          </w:tcPr>
          <w:p>
            <w:pPr>
              <w:spacing w:before="20" w:after="20"/>
            </w:pPr>
            <w:r>
              <w:rPr>
                <w:rFonts w:ascii="Times New Roman" w:hAnsi="Times New Roman"/>
                <w:sz w:val="17"/>
              </w:rPr>
            </w:r>
            <w:r>
              <w:rPr>
                <w:rFonts w:ascii="Times New Roman" w:hAnsi="Times New Roman"/>
                <w:sz w:val="17"/>
              </w:rPr>
              <w:t>62.8 ± 11.6</w:t>
            </w:r>
          </w:p>
        </w:tc>
        <w:tc>
          <w:tcPr>
            <w:tcW w:type="dxa" w:w="2304"/>
          </w:tcPr>
          <w:p>
            <w:pPr>
              <w:spacing w:before="20" w:after="20"/>
            </w:pPr>
            <w:r>
              <w:rPr>
                <w:rFonts w:ascii="Times New Roman" w:hAnsi="Times New Roman"/>
                <w:sz w:val="17"/>
              </w:rPr>
            </w:r>
            <w:r>
              <w:rPr>
                <w:rFonts w:ascii="Times New Roman" w:hAnsi="Times New Roman"/>
                <w:sz w:val="17"/>
              </w:rPr>
              <w:t>65.2 ± 10.7</w:t>
            </w:r>
          </w:p>
        </w:tc>
        <w:tc>
          <w:tcPr>
            <w:tcW w:type="dxa" w:w="2304"/>
          </w:tcPr>
          <w:p>
            <w:pPr>
              <w:spacing w:before="20" w:after="20"/>
            </w:pPr>
            <w:r>
              <w:rPr>
                <w:rFonts w:ascii="Times New Roman" w:hAnsi="Times New Roman"/>
                <w:sz w:val="17"/>
              </w:rPr>
            </w:r>
            <w:r>
              <w:rPr>
                <w:rFonts w:ascii="Times New Roman" w:hAnsi="Times New Roman"/>
                <w:sz w:val="17"/>
              </w:rPr>
              <w:t>55.3 ± 7.5</w:t>
            </w:r>
          </w:p>
        </w:tc>
      </w:tr>
      <w:tr>
        <w:tc>
          <w:tcPr>
            <w:tcW w:type="dxa" w:w="2304"/>
          </w:tcPr>
          <w:p>
            <w:pPr>
              <w:spacing w:before="20" w:after="20"/>
            </w:pPr>
            <w:r>
              <w:rPr>
                <w:rFonts w:ascii="Times New Roman" w:hAnsi="Times New Roman"/>
                <w:sz w:val="17"/>
              </w:rPr>
            </w:r>
            <w:r>
              <w:rPr>
                <w:rFonts w:ascii="Times New Roman" w:hAnsi="Times New Roman"/>
                <w:sz w:val="17"/>
              </w:rPr>
              <w:t>C + individual SMR bands</w:t>
            </w:r>
          </w:p>
        </w:tc>
        <w:tc>
          <w:tcPr>
            <w:tcW w:type="dxa" w:w="2304"/>
          </w:tcPr>
          <w:p>
            <w:pPr>
              <w:spacing w:before="20" w:after="20"/>
            </w:pPr>
            <w:r>
              <w:rPr>
                <w:rFonts w:ascii="Times New Roman" w:hAnsi="Times New Roman"/>
                <w:sz w:val="17"/>
              </w:rPr>
            </w:r>
            <w:r>
              <w:rPr>
                <w:rFonts w:ascii="Times New Roman" w:hAnsi="Times New Roman"/>
                <w:sz w:val="17"/>
              </w:rPr>
              <w:t>62.2 ± 12.8</w:t>
            </w:r>
          </w:p>
        </w:tc>
        <w:tc>
          <w:tcPr>
            <w:tcW w:type="dxa" w:w="2304"/>
          </w:tcPr>
          <w:p>
            <w:pPr>
              <w:spacing w:before="20" w:after="20"/>
            </w:pPr>
            <w:r>
              <w:rPr>
                <w:rFonts w:ascii="Times New Roman" w:hAnsi="Times New Roman"/>
                <w:sz w:val="17"/>
              </w:rPr>
            </w:r>
            <w:r>
              <w:rPr>
                <w:rFonts w:ascii="Times New Roman" w:hAnsi="Times New Roman"/>
                <w:sz w:val="17"/>
              </w:rPr>
              <w:t>62.5 ± 9.4</w:t>
            </w:r>
          </w:p>
        </w:tc>
        <w:tc>
          <w:tcPr>
            <w:tcW w:type="dxa" w:w="2304"/>
          </w:tcPr>
          <w:p>
            <w:pPr>
              <w:spacing w:before="20" w:after="20"/>
            </w:pPr>
            <w:r>
              <w:rPr>
                <w:rFonts w:ascii="Times New Roman" w:hAnsi="Times New Roman"/>
                <w:sz w:val="17"/>
              </w:rPr>
            </w:r>
            <w:r>
              <w:rPr>
                <w:rFonts w:ascii="Times New Roman" w:hAnsi="Times New Roman"/>
                <w:sz w:val="17"/>
              </w:rPr>
              <w:t>53.3 ± 5.3</w:t>
            </w:r>
          </w:p>
        </w:tc>
      </w:tr>
      <w:tr>
        <w:tc>
          <w:tcPr>
            <w:tcW w:type="dxa" w:w="2304"/>
          </w:tcPr>
          <w:p>
            <w:pPr>
              <w:spacing w:before="20" w:after="20"/>
            </w:pPr>
            <w:r>
              <w:rPr>
                <w:rFonts w:ascii="Times New Roman" w:hAnsi="Times New Roman"/>
                <w:sz w:val="17"/>
              </w:rPr>
            </w:r>
            <w:r>
              <w:rPr>
                <w:rFonts w:ascii="Times New Roman" w:hAnsi="Times New Roman"/>
                <w:sz w:val="17"/>
              </w:rPr>
              <w:t>D full physiological constraint</w:t>
            </w:r>
          </w:p>
        </w:tc>
        <w:tc>
          <w:tcPr>
            <w:tcW w:type="dxa" w:w="2304"/>
          </w:tcPr>
          <w:p>
            <w:pPr>
              <w:spacing w:before="20" w:after="20"/>
            </w:pPr>
            <w:r>
              <w:rPr>
                <w:rFonts w:ascii="Times New Roman" w:hAnsi="Times New Roman"/>
                <w:sz w:val="17"/>
              </w:rPr>
            </w:r>
            <w:r>
              <w:rPr>
                <w:rFonts w:ascii="Times New Roman" w:hAnsi="Times New Roman"/>
                <w:sz w:val="17"/>
              </w:rPr>
              <w:t>63.7 ± 11.4</w:t>
            </w:r>
          </w:p>
        </w:tc>
        <w:tc>
          <w:tcPr>
            <w:tcW w:type="dxa" w:w="2304"/>
          </w:tcPr>
          <w:p>
            <w:pPr>
              <w:spacing w:before="20" w:after="20"/>
            </w:pPr>
            <w:r>
              <w:rPr>
                <w:rFonts w:ascii="Times New Roman" w:hAnsi="Times New Roman"/>
                <w:sz w:val="17"/>
              </w:rPr>
            </w:r>
            <w:r>
              <w:rPr>
                <w:rFonts w:ascii="Times New Roman" w:hAnsi="Times New Roman"/>
                <w:sz w:val="17"/>
              </w:rPr>
              <w:t>62.8 ± 8.0</w:t>
            </w:r>
          </w:p>
        </w:tc>
        <w:tc>
          <w:tcPr>
            <w:tcW w:type="dxa" w:w="2304"/>
          </w:tcPr>
          <w:p>
            <w:pPr>
              <w:spacing w:before="20" w:after="20"/>
            </w:pPr>
            <w:r>
              <w:rPr>
                <w:rFonts w:ascii="Times New Roman" w:hAnsi="Times New Roman"/>
                <w:sz w:val="17"/>
              </w:rPr>
            </w:r>
            <w:r>
              <w:rPr>
                <w:rFonts w:ascii="Times New Roman" w:hAnsi="Times New Roman"/>
                <w:sz w:val="17"/>
              </w:rPr>
              <w:t>53.0 ± 8.6</w:t>
            </w:r>
          </w:p>
        </w:tc>
      </w:tr>
      <w:tr>
        <w:tc>
          <w:tcPr>
            <w:tcW w:type="dxa" w:w="2304"/>
          </w:tcPr>
          <w:p>
            <w:pPr>
              <w:spacing w:before="20" w:after="20"/>
            </w:pPr>
            <w:r>
              <w:rPr>
                <w:rFonts w:ascii="Times New Roman" w:hAnsi="Times New Roman"/>
                <w:sz w:val="17"/>
              </w:rPr>
            </w:r>
            <w:r>
              <w:rPr>
                <w:rFonts w:ascii="Times New Roman" w:hAnsi="Times New Roman"/>
                <w:b/>
                <w:sz w:val="17"/>
              </w:rPr>
              <w:t>E same machinery, wrong anatomy</w:t>
            </w:r>
          </w:p>
        </w:tc>
        <w:tc>
          <w:tcPr>
            <w:tcW w:type="dxa" w:w="2304"/>
          </w:tcPr>
          <w:p>
            <w:pPr>
              <w:spacing w:before="20" w:after="20"/>
            </w:pPr>
            <w:r>
              <w:rPr>
                <w:rFonts w:ascii="Times New Roman" w:hAnsi="Times New Roman"/>
                <w:sz w:val="17"/>
              </w:rPr>
            </w:r>
            <w:r>
              <w:rPr>
                <w:rFonts w:ascii="Times New Roman" w:hAnsi="Times New Roman"/>
                <w:b/>
                <w:sz w:val="17"/>
              </w:rPr>
              <w:t>59.6 ± 10.5</w:t>
            </w:r>
          </w:p>
        </w:tc>
        <w:tc>
          <w:tcPr>
            <w:tcW w:type="dxa" w:w="2304"/>
          </w:tcPr>
          <w:p>
            <w:pPr>
              <w:spacing w:before="20" w:after="20"/>
            </w:pPr>
            <w:r>
              <w:rPr>
                <w:rFonts w:ascii="Times New Roman" w:hAnsi="Times New Roman"/>
                <w:sz w:val="17"/>
              </w:rPr>
            </w:r>
            <w:r>
              <w:rPr>
                <w:rFonts w:ascii="Times New Roman" w:hAnsi="Times New Roman"/>
                <w:b/>
                <w:sz w:val="17"/>
              </w:rPr>
              <w:t>59.0 ± 10.3</w:t>
            </w:r>
          </w:p>
        </w:tc>
        <w:tc>
          <w:tcPr>
            <w:tcW w:type="dxa" w:w="2304"/>
          </w:tcPr>
          <w:p>
            <w:pPr>
              <w:spacing w:before="20" w:after="20"/>
            </w:pPr>
            <w:r>
              <w:rPr>
                <w:rFonts w:ascii="Times New Roman" w:hAnsi="Times New Roman"/>
                <w:sz w:val="17"/>
              </w:rPr>
            </w:r>
            <w:r>
              <w:rPr>
                <w:rFonts w:ascii="Times New Roman" w:hAnsi="Times New Roman"/>
                <w:b/>
                <w:sz w:val="17"/>
              </w:rPr>
              <w:t>54.6 ± 6.3</w:t>
            </w:r>
          </w:p>
        </w:tc>
      </w:tr>
    </w:tbl>
    <w:p/>
    <w:p>
      <w:pPr>
        <w:jc w:val="both"/>
      </w:pPr>
      <w:r>
        <w:rPr>
          <w:i/>
        </w:rPr>
        <w:t xml:space="preserve">Mean ± SD across the ten participants, identical folds for every model, so the model contrasts are paired; the between-model tests quoted below are paired </w:t>
      </w:r>
      <w:r>
        <w:rPr/>
        <w:t>t</w:t>
      </w:r>
      <w:r>
        <w:rPr>
          <w:i/>
        </w:rPr>
        <w:t>-tests over those ten values. The standard deviations are large relative to the between-model differences — no model is distinguishable from another on the group means alone, which is the point of using the paired tests.</w:t>
      </w:r>
    </w:p>
    <w:p>
      <w:pPr>
        <w:jc w:val="both"/>
      </w:pPr>
      <w:r>
        <w:rPr/>
        <w:t xml:space="preserve">No constraint improves significantly (B–D vs A, all </w:t>
      </w:r>
      <w:r>
        <w:rPr>
          <w:i/>
        </w:rPr>
        <w:t>p</w:t>
      </w:r>
      <w:r>
        <w:rPr/>
        <w:t xml:space="preserve"> &gt; .37); individually estimated bands slightly </w:t>
      </w:r>
      <w:r>
        <w:rPr>
          <w:i/>
        </w:rPr>
        <w:t>hurt</w:t>
      </w:r>
      <w:r>
        <w:rPr/>
        <w:t>, the fine filter bank having already absorbed that adaptation. Two things follow.</w:t>
      </w:r>
    </w:p>
    <w:p>
      <w:pPr>
        <w:jc w:val="both"/>
      </w:pPr>
      <w:r>
        <w:rPr/>
        <w:t>First, the generic pipeline is not arbitrary with respect to physiology — it already extracts what the foot-area constraint would impose, which is why adding the constraint changes nothing.</w:t>
      </w:r>
    </w:p>
    <w:p>
      <w:pPr>
        <w:jc w:val="both"/>
      </w:pPr>
      <w:r>
        <w:rPr/>
        <w:t xml:space="preserve">Second, the wrong-anatomy control costs </w:t>
      </w:r>
      <w:r>
        <w:rPr>
          <w:b/>
        </w:rPr>
        <w:t>4.5 points on Rest-vs-Walk (</w:t>
      </w:r>
      <w:r>
        <w:rPr>
          <w:b/>
          <w:i/>
        </w:rPr>
        <w:t>p</w:t>
      </w:r>
      <w:r>
        <w:rPr>
          <w:b/>
        </w:rPr>
        <w:t xml:space="preserve"> = .019)</w:t>
      </w:r>
      <w:r>
        <w:rPr/>
        <w:t xml:space="preserve"> and </w:t>
      </w:r>
      <w:r>
        <w:rPr>
          <w:b/>
        </w:rPr>
        <w:t>3.1 points on Rest-vs-Stand</w:t>
      </w:r>
      <w:r>
        <w:rPr/>
        <w:t xml:space="preserve"> (</w:t>
      </w:r>
      <w:r>
        <w:rPr>
          <w:i/>
        </w:rPr>
        <w:t>p</w:t>
      </w:r>
      <w:r>
        <w:rPr/>
        <w:t xml:space="preserve"> = .267), but nothing at all on Stand-vs-Walk (</w:t>
      </w:r>
      <w:r>
        <w:rPr>
          <w:b/>
        </w:rPr>
        <w:t xml:space="preserve">−0.4 points, </w:t>
      </w:r>
      <w:r>
        <w:rPr>
          <w:b/>
          <w:i/>
        </w:rPr>
        <w:t>p</w:t>
      </w:r>
      <w:r>
        <w:rPr>
          <w:b/>
        </w:rPr>
        <w:t xml:space="preserve"> = .804</w:t>
      </w:r>
      <w:r>
        <w:rPr/>
        <w:t xml:space="preserve"> — nominally an </w:t>
      </w:r>
      <w:r>
        <w:rPr>
          <w:i/>
        </w:rPr>
        <w:t>improvement</w:t>
      </w:r>
      <w:r>
        <w:rPr/>
        <w:t>). The same misdirection is expensive for the contrasts that carry signal and free for the one that does not.</w:t>
      </w:r>
    </w:p>
    <w:p>
      <w:pPr>
        <w:jc w:val="both"/>
      </w:pPr>
      <w:r>
        <w:rPr>
          <w:i/>
        </w:rPr>
        <w:t>This comparison is suggestive rather than probative, for two reasons. First, a floor effect: Rest-vs-Walk sits 13.5 points above chance and Stand-vs-Walk only 4.3, so there is roughly three times as much signal available to destroy in the former, and part of the asymmetry follows from that alone. Taken by itself the argument would be circular — a spatial constraint can only be misdirected away from something, so "misdirection is free" and "there is no localised signal" are close to the same statement rather than independent evidence for each other. Second, this montage places all eight electrodes over sensorimotor cortex, so the "wrong" ring is only mildly wrong; no occipital or prefrontal site is available. We report the control because it is consistent with H.1 and H.4, not because it independently establishes them.</w:t>
      </w:r>
    </w:p>
    <w:p>
      <w:pPr>
        <w:jc w:val="both"/>
      </w:pPr>
      <w:r>
        <w:rPr>
          <w:b/>
        </w:rPr>
        <w:t>H.4 The montage measures far fewer spatial dimensions than it has electrodes.</w:t>
      </w:r>
      <w:r>
        <w:rPr/>
        <w:t xml:space="preserve"> H.1 shows that no distinguishable topographic difference is present, but on its own it cannot separate two readings: that no difference exists in the brain, or that one exists and this montage cannot resolve it. The second reading is addressable directly.</w:t>
      </w:r>
    </w:p>
    <w:p>
      <w:pPr>
        <w:jc w:val="both"/>
      </w:pPr>
      <w:r>
        <w:rPr/>
        <w:t>Eigendecomposing each participant's 8×8 band-limited covariance:</w:t>
      </w:r>
    </w:p>
    <w:tbl>
      <w:tblPr>
        <w:tblStyle w:val="TableGrid"/>
        <w:tblW w:type="auto" w:w="0"/>
        <w:jc w:val="center"/>
        <w:tblLayout w:type="fixed"/>
        <w:tblLook w:firstColumn="1" w:firstRow="1" w:lastColumn="0" w:lastRow="0" w:noHBand="0" w:noVBand="1" w:val="04A0"/>
      </w:tblPr>
      <w:tblGrid>
        <w:gridCol w:w="4680"/>
        <w:gridCol w:w="4680"/>
      </w:tblGrid>
      <w:tr>
        <w:tc>
          <w:tcPr>
            <w:tcW w:type="dxa" w:w="4608"/>
            <w:shd w:val="clear" w:fill="EEF2F7"/>
          </w:tcPr>
          <w:p>
            <w:pPr>
              <w:spacing w:before="20" w:after="20"/>
            </w:pPr>
            <w:r>
              <w:rPr>
                <w:rFonts w:ascii="Times New Roman" w:hAnsi="Times New Roman"/>
                <w:b/>
                <w:sz w:val="17"/>
              </w:rPr>
            </w:r>
          </w:p>
        </w:tc>
        <w:tc>
          <w:tcPr>
            <w:tcW w:type="dxa" w:w="4608"/>
            <w:shd w:val="clear" w:fill="EEF2F7"/>
          </w:tcPr>
          <w:p>
            <w:pPr>
              <w:spacing w:before="20" w:after="20"/>
            </w:pPr>
            <w:r>
              <w:rPr>
                <w:rFonts w:ascii="Times New Roman" w:hAnsi="Times New Roman"/>
                <w:b/>
                <w:sz w:val="17"/>
              </w:rPr>
            </w:r>
            <w:r>
              <w:rPr>
                <w:rFonts w:ascii="Times New Roman" w:hAnsi="Times New Roman"/>
                <w:b/>
                <w:sz w:val="17"/>
              </w:rPr>
              <w:t>mean across participants</w:t>
            </w:r>
          </w:p>
        </w:tc>
      </w:tr>
      <w:tr>
        <w:tc>
          <w:tcPr>
            <w:tcW w:type="dxa" w:w="4608"/>
          </w:tcPr>
          <w:p>
            <w:pPr>
              <w:spacing w:before="20" w:after="20"/>
            </w:pPr>
            <w:r>
              <w:rPr>
                <w:rFonts w:ascii="Times New Roman" w:hAnsi="Times New Roman"/>
                <w:sz w:val="17"/>
              </w:rPr>
            </w:r>
            <w:r>
              <w:rPr>
                <w:rFonts w:ascii="Times New Roman" w:hAnsi="Times New Roman"/>
                <w:sz w:val="17"/>
              </w:rPr>
              <w:t>Components for 95 % of variance</w:t>
            </w:r>
          </w:p>
        </w:tc>
        <w:tc>
          <w:tcPr>
            <w:tcW w:type="dxa" w:w="4608"/>
          </w:tcPr>
          <w:p>
            <w:pPr>
              <w:spacing w:before="20" w:after="20"/>
            </w:pPr>
            <w:r>
              <w:rPr>
                <w:rFonts w:ascii="Times New Roman" w:hAnsi="Times New Roman"/>
                <w:sz w:val="17"/>
              </w:rPr>
            </w:r>
            <w:r>
              <w:rPr>
                <w:rFonts w:ascii="Times New Roman" w:hAnsi="Times New Roman"/>
                <w:b/>
                <w:sz w:val="17"/>
              </w:rPr>
              <w:t>3.4</w:t>
            </w:r>
            <w:r>
              <w:rPr>
                <w:rFonts w:ascii="Times New Roman" w:hAnsi="Times New Roman"/>
                <w:sz w:val="17"/>
              </w:rPr>
              <w:t xml:space="preserve"> of 8</w:t>
            </w:r>
          </w:p>
        </w:tc>
      </w:tr>
      <w:tr>
        <w:tc>
          <w:tcPr>
            <w:tcW w:type="dxa" w:w="4608"/>
          </w:tcPr>
          <w:p>
            <w:pPr>
              <w:spacing w:before="20" w:after="20"/>
            </w:pPr>
            <w:r>
              <w:rPr>
                <w:rFonts w:ascii="Times New Roman" w:hAnsi="Times New Roman"/>
                <w:sz w:val="17"/>
              </w:rPr>
            </w:r>
            <w:r>
              <w:rPr>
                <w:rFonts w:ascii="Times New Roman" w:hAnsi="Times New Roman"/>
                <w:sz w:val="17"/>
              </w:rPr>
              <w:t>Effective dimensionality (participation ratio)</w:t>
            </w:r>
          </w:p>
        </w:tc>
        <w:tc>
          <w:tcPr>
            <w:tcW w:type="dxa" w:w="4608"/>
          </w:tcPr>
          <w:p>
            <w:pPr>
              <w:spacing w:before="20" w:after="20"/>
            </w:pPr>
            <w:r>
              <w:rPr>
                <w:rFonts w:ascii="Times New Roman" w:hAnsi="Times New Roman"/>
                <w:sz w:val="17"/>
              </w:rPr>
            </w:r>
            <w:r>
              <w:rPr>
                <w:rFonts w:ascii="Times New Roman" w:hAnsi="Times New Roman"/>
                <w:b/>
                <w:sz w:val="17"/>
              </w:rPr>
              <w:t>1.49</w:t>
            </w:r>
          </w:p>
        </w:tc>
      </w:tr>
      <w:tr>
        <w:tc>
          <w:tcPr>
            <w:tcW w:type="dxa" w:w="4608"/>
          </w:tcPr>
          <w:p>
            <w:pPr>
              <w:spacing w:before="20" w:after="20"/>
            </w:pPr>
            <w:r>
              <w:rPr>
                <w:rFonts w:ascii="Times New Roman" w:hAnsi="Times New Roman"/>
                <w:sz w:val="17"/>
              </w:rPr>
            </w:r>
            <w:r>
              <w:rPr>
                <w:rFonts w:ascii="Times New Roman" w:hAnsi="Times New Roman"/>
                <w:sz w:val="17"/>
              </w:rPr>
              <w:t>Mean inter-electrode correlation</w:t>
            </w:r>
          </w:p>
        </w:tc>
        <w:tc>
          <w:tcPr>
            <w:tcW w:type="dxa" w:w="4608"/>
          </w:tcPr>
          <w:p>
            <w:pPr>
              <w:spacing w:before="20" w:after="20"/>
            </w:pPr>
            <w:r>
              <w:rPr>
                <w:rFonts w:ascii="Times New Roman" w:hAnsi="Times New Roman"/>
                <w:sz w:val="17"/>
              </w:rPr>
            </w:r>
            <w:r>
              <w:rPr>
                <w:rFonts w:ascii="Times New Roman" w:hAnsi="Times New Roman"/>
                <w:b/>
                <w:sz w:val="17"/>
              </w:rPr>
              <w:t>0.783</w:t>
            </w:r>
          </w:p>
        </w:tc>
      </w:tr>
    </w:tbl>
    <w:p/>
    <w:p>
      <w:pPr>
        <w:jc w:val="both"/>
      </w:pPr>
      <w:r>
        <w:rPr/>
        <w:t xml:space="preserve">Eight electrodes span roughly </w:t>
      </w:r>
      <w:r>
        <w:rPr>
          <w:b/>
        </w:rPr>
        <w:t>one and a half</w:t>
      </w:r>
      <w:r>
        <w:rPr/>
        <w:t xml:space="preserve"> effective spatial dimensions. Neighbouring sites correlate at 0.78, i.e. they largely report the same quantity. This is an independent route to the same conclusion as the greedy channel curve in Section III-G, which saturated at three electrodes: one measurement is classification accuracy, the other is the eigenvalue spectrum of the covariance, and they agree.</w:t>
      </w:r>
    </w:p>
    <w:p>
      <w:pPr>
        <w:jc w:val="both"/>
      </w:pPr>
      <w:r>
        <w:rPr/>
        <w:t xml:space="preserve">The montage is therefore spatially saturated — adding more electrodes </w:t>
      </w:r>
      <w:r>
        <w:rPr>
          <w:i/>
        </w:rPr>
        <w:t>at this spacing</w:t>
      </w:r>
      <w:r>
        <w:rPr/>
        <w:t xml:space="preserve"> cannot add information, which is what Section III-G measured. Whether a denser medial ring at ~2 cm would help is a different question that this dataset cannot answer, because those electrodes were not recorded; see the spacing argument in Section IV-A and the limitation in Section IV-D.</w:t>
      </w:r>
    </w:p>
    <w:p>
      <w:pPr>
        <w:jc w:val="both"/>
      </w:pPr>
      <w:r>
        <w:rPr>
          <w:b/>
        </w:rPr>
        <w:t>H.5 Removing the muscle does not recover a signal — and trying it with a decomposition destroys the signals that exist.</w:t>
      </w:r>
      <w:r>
        <w:rPr/>
        <w:t xml:space="preserve"> H.1 shows no topographic difference and H.4 shows the montage is spatially saturated, but neither rules out a third possibility: that a real difference is present and buried under electromyographic noise. Because the analysis band overlaps a genuine EMG component (Section II-E), this had to be tested rather than argued.</w:t>
      </w:r>
    </w:p>
    <w:p>
      <w:pPr>
        <w:jc w:val="both"/>
      </w:pPr>
      <w:r>
        <w:rPr/>
        <w:t xml:space="preserve">Independent component analysis is not the tool. It decomposes an </w:t>
      </w:r>
      <w:r>
        <w:rPr>
          <w:i/>
        </w:rPr>
        <w:t>N</w:t>
      </w:r>
      <w:r>
        <w:rPr/>
        <w:t xml:space="preserve">-channel recording into </w:t>
      </w:r>
      <w:r>
        <w:rPr>
          <w:i/>
        </w:rPr>
        <w:t>N</w:t>
      </w:r>
      <w:r>
        <w:rPr/>
        <w:t xml:space="preserve"> components, and H.4 measures the effective dimensionality of this montage at 1.49; a one-and-a-half dimensional space cannot be split into separable neural and muscular subspaces. We therefore used two methods that do not require a high channel count [</w:t>
      </w:r>
      <w:r>
        <w:rPr>
          <w:rFonts w:ascii="Consolas" w:hAnsi="Consolas"/>
          <w:sz w:val="18"/>
        </w:rPr>
        <w:t>22_emg_removal.py</w:t>
      </w:r>
      <w:r>
        <w:rPr/>
        <w:t>]. The first projects a per-trial 30–45 Hz nuisance direction out of the tangent-space features, with the regression fitted inside the training fold. The second is BSS-CCA: canonical correlation between the signal and its one-sample lag orders components by autocorrelation, and the two least autocorrelated — the most muscle-like — are zeroed before reconstruction. Every outcome was assigned an interpretation before running.</w:t>
      </w:r>
    </w:p>
    <w:p>
      <w:pPr>
        <w:jc w:val="both"/>
      </w:pPr>
      <w:r>
        <w:rPr>
          <w:b/>
        </w:rPr>
        <w:t>TABLE IIIc — Effect of EMG removal (single-band pipeline, identical folds)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shd w:val="clear" w:fill="EEF2F7"/>
          </w:tcPr>
          <w:p>
            <w:pPr>
              <w:spacing w:before="20" w:after="20"/>
            </w:pPr>
            <w:r>
              <w:rPr>
                <w:rFonts w:ascii="Times New Roman" w:hAnsi="Times New Roman"/>
                <w:b/>
                <w:sz w:val="17"/>
              </w:rPr>
            </w:r>
            <w:r>
              <w:rPr>
                <w:rFonts w:ascii="Times New Roman" w:hAnsi="Times New Roman"/>
                <w:b/>
                <w:sz w:val="17"/>
              </w:rPr>
              <w:t>Contrast</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raw</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nuisance regression</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BSS-CCA</w:t>
            </w:r>
          </w:p>
        </w:tc>
      </w:tr>
      <w:tr>
        <w:tc>
          <w:tcPr>
            <w:tcW w:type="dxa" w:w="2304"/>
          </w:tcPr>
          <w:p>
            <w:pPr>
              <w:spacing w:before="20" w:after="20"/>
            </w:pPr>
            <w:r>
              <w:rPr>
                <w:rFonts w:ascii="Times New Roman" w:hAnsi="Times New Roman"/>
                <w:sz w:val="17"/>
              </w:rPr>
            </w:r>
            <w:r>
              <w:rPr>
                <w:rFonts w:ascii="Times New Roman" w:hAnsi="Times New Roman"/>
                <w:sz w:val="17"/>
              </w:rPr>
              <w:t>Stand vs Walk</w:t>
            </w:r>
          </w:p>
        </w:tc>
        <w:tc>
          <w:tcPr>
            <w:tcW w:type="dxa" w:w="2304"/>
          </w:tcPr>
          <w:p>
            <w:pPr>
              <w:spacing w:before="20" w:after="20"/>
            </w:pPr>
            <w:r>
              <w:rPr>
                <w:rFonts w:ascii="Times New Roman" w:hAnsi="Times New Roman"/>
                <w:sz w:val="17"/>
              </w:rPr>
            </w:r>
            <w:r>
              <w:rPr>
                <w:rFonts w:ascii="Times New Roman" w:hAnsi="Times New Roman"/>
                <w:sz w:val="17"/>
              </w:rPr>
              <w:t>50.9 %</w:t>
            </w:r>
          </w:p>
        </w:tc>
        <w:tc>
          <w:tcPr>
            <w:tcW w:type="dxa" w:w="2304"/>
          </w:tcPr>
          <w:p>
            <w:pPr>
              <w:spacing w:before="20" w:after="20"/>
            </w:pPr>
            <w:r>
              <w:rPr>
                <w:rFonts w:ascii="Times New Roman" w:hAnsi="Times New Roman"/>
                <w:sz w:val="17"/>
              </w:rPr>
            </w:r>
            <w:r>
              <w:rPr>
                <w:rFonts w:ascii="Times New Roman" w:hAnsi="Times New Roman"/>
                <w:sz w:val="17"/>
              </w:rPr>
              <w:t xml:space="preserve">50.8 % (Δ −0.12, </w:t>
            </w:r>
            <w:r>
              <w:rPr>
                <w:rFonts w:ascii="Times New Roman" w:hAnsi="Times New Roman"/>
                <w:i/>
                <w:sz w:val="17"/>
              </w:rPr>
              <w:t>p</w:t>
            </w:r>
            <w:r>
              <w:rPr>
                <w:rFonts w:ascii="Times New Roman" w:hAnsi="Times New Roman"/>
                <w:sz w:val="17"/>
              </w:rPr>
              <w:t xml:space="preserve"> = .938)</w:t>
            </w:r>
          </w:p>
        </w:tc>
        <w:tc>
          <w:tcPr>
            <w:tcW w:type="dxa" w:w="2304"/>
          </w:tcPr>
          <w:p>
            <w:pPr>
              <w:spacing w:before="20" w:after="20"/>
            </w:pPr>
            <w:r>
              <w:rPr>
                <w:rFonts w:ascii="Times New Roman" w:hAnsi="Times New Roman"/>
                <w:sz w:val="17"/>
              </w:rPr>
            </w:r>
            <w:r>
              <w:rPr>
                <w:rFonts w:ascii="Times New Roman" w:hAnsi="Times New Roman"/>
                <w:sz w:val="17"/>
              </w:rPr>
              <w:t xml:space="preserve">47.1 % (Δ −3.88, </w:t>
            </w:r>
            <w:r>
              <w:rPr>
                <w:rFonts w:ascii="Times New Roman" w:hAnsi="Times New Roman"/>
                <w:i/>
                <w:sz w:val="17"/>
              </w:rPr>
              <w:t>p</w:t>
            </w:r>
            <w:r>
              <w:rPr>
                <w:rFonts w:ascii="Times New Roman" w:hAnsi="Times New Roman"/>
                <w:sz w:val="17"/>
              </w:rPr>
              <w:t xml:space="preserve"> = .180)</w:t>
            </w:r>
          </w:p>
        </w:tc>
      </w:tr>
      <w:tr>
        <w:tc>
          <w:tcPr>
            <w:tcW w:type="dxa" w:w="2304"/>
          </w:tcPr>
          <w:p>
            <w:pPr>
              <w:spacing w:before="20" w:after="20"/>
            </w:pPr>
            <w:r>
              <w:rPr>
                <w:rFonts w:ascii="Times New Roman" w:hAnsi="Times New Roman"/>
                <w:sz w:val="17"/>
              </w:rPr>
            </w:r>
            <w:r>
              <w:rPr>
                <w:rFonts w:ascii="Times New Roman" w:hAnsi="Times New Roman"/>
                <w:sz w:val="17"/>
              </w:rPr>
              <w:t>Rest vs Walk</w:t>
            </w:r>
          </w:p>
        </w:tc>
        <w:tc>
          <w:tcPr>
            <w:tcW w:type="dxa" w:w="2304"/>
          </w:tcPr>
          <w:p>
            <w:pPr>
              <w:spacing w:before="20" w:after="20"/>
            </w:pPr>
            <w:r>
              <w:rPr>
                <w:rFonts w:ascii="Times New Roman" w:hAnsi="Times New Roman"/>
                <w:sz w:val="17"/>
              </w:rPr>
            </w:r>
            <w:r>
              <w:rPr>
                <w:rFonts w:ascii="Times New Roman" w:hAnsi="Times New Roman"/>
                <w:sz w:val="17"/>
              </w:rPr>
              <w:t>62.9 %</w:t>
            </w:r>
          </w:p>
        </w:tc>
        <w:tc>
          <w:tcPr>
            <w:tcW w:type="dxa" w:w="2304"/>
          </w:tcPr>
          <w:p>
            <w:pPr>
              <w:spacing w:before="20" w:after="20"/>
            </w:pPr>
            <w:r>
              <w:rPr>
                <w:rFonts w:ascii="Times New Roman" w:hAnsi="Times New Roman"/>
                <w:sz w:val="17"/>
              </w:rPr>
            </w:r>
            <w:r>
              <w:rPr>
                <w:rFonts w:ascii="Times New Roman" w:hAnsi="Times New Roman"/>
                <w:sz w:val="17"/>
              </w:rPr>
              <w:t xml:space="preserve">62.8 % (Δ −0.10, </w:t>
            </w:r>
            <w:r>
              <w:rPr>
                <w:rFonts w:ascii="Times New Roman" w:hAnsi="Times New Roman"/>
                <w:i/>
                <w:sz w:val="17"/>
              </w:rPr>
              <w:t>p</w:t>
            </w:r>
            <w:r>
              <w:rPr>
                <w:rFonts w:ascii="Times New Roman" w:hAnsi="Times New Roman"/>
                <w:sz w:val="17"/>
              </w:rPr>
              <w:t xml:space="preserve"> = .938)</w:t>
            </w:r>
          </w:p>
        </w:tc>
        <w:tc>
          <w:tcPr>
            <w:tcW w:type="dxa" w:w="2304"/>
          </w:tcPr>
          <w:p>
            <w:pPr>
              <w:spacing w:before="20" w:after="20"/>
            </w:pPr>
            <w:r>
              <w:rPr>
                <w:rFonts w:ascii="Times New Roman" w:hAnsi="Times New Roman"/>
                <w:sz w:val="17"/>
              </w:rPr>
            </w:r>
            <w:r>
              <w:rPr>
                <w:rFonts w:ascii="Times New Roman" w:hAnsi="Times New Roman"/>
                <w:b/>
                <w:sz w:val="17"/>
              </w:rPr>
              <w:t xml:space="preserve">53.8 % (Δ −9.08, </w:t>
            </w:r>
            <w:r>
              <w:rPr>
                <w:rFonts w:ascii="Times New Roman" w:hAnsi="Times New Roman"/>
                <w:b/>
                <w:i/>
                <w:sz w:val="17"/>
              </w:rPr>
              <w:t>p</w:t>
            </w:r>
            <w:r>
              <w:rPr>
                <w:rFonts w:ascii="Times New Roman" w:hAnsi="Times New Roman"/>
                <w:b/>
                <w:sz w:val="17"/>
              </w:rPr>
              <w:t xml:space="preserve"> &lt; .0001)</w:t>
            </w:r>
          </w:p>
        </w:tc>
      </w:tr>
      <w:tr>
        <w:tc>
          <w:tcPr>
            <w:tcW w:type="dxa" w:w="2304"/>
          </w:tcPr>
          <w:p>
            <w:pPr>
              <w:spacing w:before="20" w:after="20"/>
            </w:pPr>
            <w:r>
              <w:rPr>
                <w:rFonts w:ascii="Times New Roman" w:hAnsi="Times New Roman"/>
                <w:sz w:val="17"/>
              </w:rPr>
            </w:r>
            <w:r>
              <w:rPr>
                <w:rFonts w:ascii="Times New Roman" w:hAnsi="Times New Roman"/>
                <w:sz w:val="17"/>
              </w:rPr>
              <w:t>Rest vs Stand</w:t>
            </w:r>
          </w:p>
        </w:tc>
        <w:tc>
          <w:tcPr>
            <w:tcW w:type="dxa" w:w="2304"/>
          </w:tcPr>
          <w:p>
            <w:pPr>
              <w:spacing w:before="20" w:after="20"/>
            </w:pPr>
            <w:r>
              <w:rPr>
                <w:rFonts w:ascii="Times New Roman" w:hAnsi="Times New Roman"/>
                <w:sz w:val="17"/>
              </w:rPr>
            </w:r>
            <w:r>
              <w:rPr>
                <w:rFonts w:ascii="Times New Roman" w:hAnsi="Times New Roman"/>
                <w:sz w:val="17"/>
              </w:rPr>
              <w:t>62.9 %</w:t>
            </w:r>
          </w:p>
        </w:tc>
        <w:tc>
          <w:tcPr>
            <w:tcW w:type="dxa" w:w="2304"/>
          </w:tcPr>
          <w:p>
            <w:pPr>
              <w:spacing w:before="20" w:after="20"/>
            </w:pPr>
            <w:r>
              <w:rPr>
                <w:rFonts w:ascii="Times New Roman" w:hAnsi="Times New Roman"/>
                <w:sz w:val="17"/>
              </w:rPr>
            </w:r>
            <w:r>
              <w:rPr>
                <w:rFonts w:ascii="Times New Roman" w:hAnsi="Times New Roman"/>
                <w:sz w:val="17"/>
              </w:rPr>
              <w:t xml:space="preserve">61.4 % (Δ −1.57, </w:t>
            </w:r>
            <w:r>
              <w:rPr>
                <w:rFonts w:ascii="Times New Roman" w:hAnsi="Times New Roman"/>
                <w:i/>
                <w:sz w:val="17"/>
              </w:rPr>
              <w:t>p</w:t>
            </w:r>
            <w:r>
              <w:rPr>
                <w:rFonts w:ascii="Times New Roman" w:hAnsi="Times New Roman"/>
                <w:sz w:val="17"/>
              </w:rPr>
              <w:t xml:space="preserve"> = .427)</w:t>
            </w:r>
          </w:p>
        </w:tc>
        <w:tc>
          <w:tcPr>
            <w:tcW w:type="dxa" w:w="2304"/>
          </w:tcPr>
          <w:p>
            <w:pPr>
              <w:spacing w:before="20" w:after="20"/>
            </w:pPr>
            <w:r>
              <w:rPr>
                <w:rFonts w:ascii="Times New Roman" w:hAnsi="Times New Roman"/>
                <w:sz w:val="17"/>
              </w:rPr>
            </w:r>
            <w:r>
              <w:rPr>
                <w:rFonts w:ascii="Times New Roman" w:hAnsi="Times New Roman"/>
                <w:b/>
                <w:sz w:val="17"/>
              </w:rPr>
              <w:t xml:space="preserve">53.6 % (Δ −9.29, </w:t>
            </w:r>
            <w:r>
              <w:rPr>
                <w:rFonts w:ascii="Times New Roman" w:hAnsi="Times New Roman"/>
                <w:b/>
                <w:i/>
                <w:sz w:val="17"/>
              </w:rPr>
              <w:t>p</w:t>
            </w:r>
            <w:r>
              <w:rPr>
                <w:rFonts w:ascii="Times New Roman" w:hAnsi="Times New Roman"/>
                <w:b/>
                <w:sz w:val="17"/>
              </w:rPr>
              <w:t xml:space="preserve"> = .055)</w:t>
            </w:r>
          </w:p>
        </w:tc>
      </w:tr>
      <w:tr>
        <w:tc>
          <w:tcPr>
            <w:tcW w:type="dxa" w:w="2304"/>
          </w:tcPr>
          <w:p>
            <w:pPr>
              <w:spacing w:before="20" w:after="20"/>
            </w:pPr>
            <w:r>
              <w:rPr>
                <w:rFonts w:ascii="Times New Roman" w:hAnsi="Times New Roman"/>
                <w:sz w:val="17"/>
              </w:rPr>
            </w:r>
            <w:r>
              <w:rPr>
                <w:rFonts w:ascii="Times New Roman" w:hAnsi="Times New Roman"/>
                <w:sz w:val="17"/>
              </w:rPr>
              <w:t>Rest-vs-Walk topographic ratio</w:t>
            </w:r>
          </w:p>
        </w:tc>
        <w:tc>
          <w:tcPr>
            <w:tcW w:type="dxa" w:w="2304"/>
          </w:tcPr>
          <w:p>
            <w:pPr>
              <w:spacing w:before="20" w:after="20"/>
            </w:pPr>
            <w:r>
              <w:rPr>
                <w:rFonts w:ascii="Times New Roman" w:hAnsi="Times New Roman"/>
                <w:sz w:val="17"/>
              </w:rPr>
            </w:r>
            <w:r>
              <w:rPr>
                <w:rFonts w:ascii="Times New Roman" w:hAnsi="Times New Roman"/>
                <w:sz w:val="17"/>
              </w:rPr>
              <w:t>1.79</w:t>
            </w:r>
          </w:p>
        </w:tc>
        <w:tc>
          <w:tcPr>
            <w:tcW w:type="dxa" w:w="2304"/>
          </w:tcPr>
          <w:p>
            <w:pPr>
              <w:spacing w:before="20" w:after="20"/>
            </w:pPr>
            <w:r>
              <w:rPr>
                <w:rFonts w:ascii="Times New Roman" w:hAnsi="Times New Roman"/>
                <w:sz w:val="17"/>
              </w:rPr>
            </w:r>
            <w:r>
              <w:rPr>
                <w:rFonts w:ascii="Times New Roman" w:hAnsi="Times New Roman"/>
                <w:sz w:val="17"/>
              </w:rPr>
              <w:t>—</w:t>
            </w:r>
          </w:p>
        </w:tc>
        <w:tc>
          <w:tcPr>
            <w:tcW w:type="dxa" w:w="2304"/>
          </w:tcPr>
          <w:p>
            <w:pPr>
              <w:spacing w:before="20" w:after="20"/>
            </w:pPr>
            <w:r>
              <w:rPr>
                <w:rFonts w:ascii="Times New Roman" w:hAnsi="Times New Roman"/>
                <w:sz w:val="17"/>
              </w:rPr>
            </w:r>
            <w:r>
              <w:rPr>
                <w:rFonts w:ascii="Times New Roman" w:hAnsi="Times New Roman"/>
                <w:b/>
                <w:sz w:val="17"/>
              </w:rPr>
              <w:t>1.25 (</w:t>
            </w:r>
            <w:r>
              <w:rPr>
                <w:rFonts w:ascii="Times New Roman" w:hAnsi="Times New Roman"/>
                <w:b/>
                <w:i/>
                <w:sz w:val="17"/>
              </w:rPr>
              <w:t>p</w:t>
            </w:r>
            <w:r>
              <w:rPr>
                <w:rFonts w:ascii="Times New Roman" w:hAnsi="Times New Roman"/>
                <w:b/>
                <w:sz w:val="17"/>
              </w:rPr>
              <w:t xml:space="preserve"> = .032)</w:t>
            </w:r>
          </w:p>
        </w:tc>
      </w:tr>
      <w:tr>
        <w:tc>
          <w:tcPr>
            <w:tcW w:type="dxa" w:w="2304"/>
          </w:tcPr>
          <w:p>
            <w:pPr>
              <w:spacing w:before="20" w:after="20"/>
            </w:pPr>
            <w:r>
              <w:rPr>
                <w:rFonts w:ascii="Times New Roman" w:hAnsi="Times New Roman"/>
                <w:sz w:val="17"/>
              </w:rPr>
            </w:r>
            <w:r>
              <w:rPr>
                <w:rFonts w:ascii="Times New Roman" w:hAnsi="Times New Roman"/>
                <w:sz w:val="17"/>
              </w:rPr>
              <w:t>Participant P06, Stand vs Walk</w:t>
            </w:r>
          </w:p>
        </w:tc>
        <w:tc>
          <w:tcPr>
            <w:tcW w:type="dxa" w:w="2304"/>
          </w:tcPr>
          <w:p>
            <w:pPr>
              <w:spacing w:before="20" w:after="20"/>
            </w:pPr>
            <w:r>
              <w:rPr>
                <w:rFonts w:ascii="Times New Roman" w:hAnsi="Times New Roman"/>
                <w:sz w:val="17"/>
              </w:rPr>
            </w:r>
            <w:r>
              <w:rPr>
                <w:rFonts w:ascii="Times New Roman" w:hAnsi="Times New Roman"/>
                <w:sz w:val="17"/>
              </w:rPr>
              <w:t>66.0 %</w:t>
            </w:r>
          </w:p>
        </w:tc>
        <w:tc>
          <w:tcPr>
            <w:tcW w:type="dxa" w:w="2304"/>
          </w:tcPr>
          <w:p>
            <w:pPr>
              <w:spacing w:before="20" w:after="20"/>
            </w:pPr>
            <w:r>
              <w:rPr>
                <w:rFonts w:ascii="Times New Roman" w:hAnsi="Times New Roman"/>
                <w:sz w:val="17"/>
              </w:rPr>
            </w:r>
            <w:r>
              <w:rPr>
                <w:rFonts w:ascii="Times New Roman" w:hAnsi="Times New Roman"/>
                <w:b/>
                <w:sz w:val="17"/>
              </w:rPr>
              <w:t>61.0 %</w:t>
            </w:r>
          </w:p>
        </w:tc>
        <w:tc>
          <w:tcPr>
            <w:tcW w:type="dxa" w:w="2304"/>
          </w:tcPr>
          <w:p>
            <w:pPr>
              <w:spacing w:before="20" w:after="20"/>
            </w:pPr>
            <w:r>
              <w:rPr>
                <w:rFonts w:ascii="Times New Roman" w:hAnsi="Times New Roman"/>
                <w:sz w:val="17"/>
              </w:rPr>
            </w:r>
            <w:r>
              <w:rPr>
                <w:rFonts w:ascii="Times New Roman" w:hAnsi="Times New Roman"/>
                <w:b/>
                <w:sz w:val="17"/>
              </w:rPr>
              <w:t>47.0 %</w:t>
            </w:r>
          </w:p>
        </w:tc>
      </w:tr>
    </w:tbl>
    <w:p/>
    <w:p>
      <w:pPr>
        <w:jc w:val="both"/>
      </w:pPr>
      <w:r>
        <w:rPr>
          <w:i/>
        </w:rPr>
        <w:t>This stage uses a single 8–30 Hz covariance rather than the filter bank, so its absolute values are a few points below Table I. Only the within-stage raw-versus-cleaned comparison, which uses identical folds, is interpreted.</w:t>
      </w:r>
    </w:p>
    <w:p>
      <w:pPr>
        <w:jc w:val="both"/>
      </w:pPr>
      <w:r>
        <w:rPr/>
        <w:t>Three results follow, and they fall on three different branches of the pre-registered table.</w:t>
      </w:r>
    </w:p>
    <w:p>
      <w:pPr>
        <w:jc w:val="both"/>
      </w:pPr>
      <w:r>
        <w:rPr>
          <w:b/>
        </w:rPr>
        <w:t>Nuisance regression changes nothing, which is informative.</w:t>
      </w:r>
      <w:r>
        <w:rPr/>
        <w:t xml:space="preserve"> Stand-vs-Walk moves by −0.12 points (</w:t>
      </w:r>
      <w:r>
        <w:rPr>
          <w:i/>
        </w:rPr>
        <w:t>p</w:t>
      </w:r>
      <w:r>
        <w:rPr/>
        <w:t xml:space="preserve"> = .938) and neither rest contrast moves either. Had the null been an SNR problem, removing a variance source correlated with muscle should have improved it. It does not. The binding constraint is information content, not noise — the same conclusion the flat learning curve of Section III-G and the three-electrode saturation reach by other routes.</w:t>
      </w:r>
    </w:p>
    <w:p>
      <w:pPr>
        <w:jc w:val="both"/>
      </w:pPr>
      <w:r>
        <w:rPr>
          <w:b/>
        </w:rPr>
        <w:t>P06 falls under both methods</w:t>
      </w:r>
      <w:r>
        <w:rPr/>
        <w:t>, from 66.0 % to 61.0 % and 47.0 %. That participant is the one Section III-E rejects as arousal and muscle tone, and this is the prediction that rejection makes: clean the muscle and the effect should go. It does.</w:t>
      </w:r>
    </w:p>
    <w:p>
      <w:pPr>
        <w:jc w:val="both"/>
      </w:pPr>
      <w:r>
        <w:rPr>
          <w:b/>
        </w:rPr>
        <w:t>BSS-CCA over-removes, and the fact that it does is itself a result.</w:t>
      </w:r>
      <w:r>
        <w:rPr/>
        <w:t xml:space="preserve"> It costs Rest-vs-Walk 9.1 points (</w:t>
      </w:r>
      <w:r>
        <w:rPr>
          <w:i/>
        </w:rPr>
        <w:t>p</w:t>
      </w:r>
      <w:r>
        <w:rPr/>
        <w:t xml:space="preserve"> &lt; .0001) and Rest-vs-Stand 9.3, and it collapses the Rest-vs-Walk topographic ratio from 1.79 to 1.25 (</w:t>
      </w:r>
      <w:r>
        <w:rPr>
          <w:i/>
        </w:rPr>
        <w:t>p</w:t>
      </w:r>
      <w:r>
        <w:rPr/>
        <w:t xml:space="preserve"> = .032) — that is, it destroys the one contrast this montage demonstrably resolves. Its Stand-vs-Walk output therefore cannot be interpreted. The reason is the dimensionality of H.4: discarding two of eight components removes a quarter of the recorded space, and when that space spans 1.49 effective dimensions there is no artifact subspace to discard that does not also contain the signal. </w:t>
      </w:r>
      <w:r>
        <w:rPr>
          <w:b/>
        </w:rPr>
        <w:t>This is a measured demonstration that decomposition-based artifact removal is not available at this channel count</w:t>
      </w:r>
      <w:r>
        <w:rPr/>
        <w:t>, which the ICA literature asserts on theoretical grounds and which practitioners of low-channel systems should treat as a hard constraint rather than a preference.</w:t>
      </w:r>
    </w:p>
    <w:p>
      <w:pPr>
        <w:pStyle w:val="Heading3"/>
        <w:spacing w:before="200" w:after="80"/>
      </w:pPr>
      <w:r>
        <w:rPr>
          <w:rFonts w:ascii="Times New Roman" w:hAnsi="Times New Roman"/>
          <w:color w:val="1F2328"/>
          <w:sz w:val="23"/>
        </w:rPr>
        <w:t>I. Positive control: what this montage registers when the signal is unambiguous</w:t>
      </w:r>
    </w:p>
    <w:p>
      <w:pPr>
        <w:jc w:val="both"/>
      </w:pPr>
      <w:r>
        <w:rPr/>
        <w:t>Every claim above is conditional on a premise nothing so far has tested — that this montage can register lower-limb sensorimotor activity at all, and that the M1–M4 screens recognise it when present. If it cannot, the null of Sections III-D and III-H is an instrument result rather than a physiological one. The motor-execution runs supply the control: participants actually moved, so genuine sensorimotor activity is present by construction. Nine of ten runs passed a pre-set trial-retention gate of 70 % [</w:t>
      </w:r>
      <w:r>
        <w:rPr>
          <w:rFonts w:ascii="Consolas" w:hAnsi="Consolas"/>
          <w:sz w:val="18"/>
        </w:rPr>
        <w:t>20_me_positive_control.py</w:t>
      </w:r>
      <w:r>
        <w:rPr/>
        <w:t xml:space="preserve">, </w:t>
      </w:r>
      <w:r>
        <w:rPr>
          <w:rFonts w:ascii="Consolas" w:hAnsi="Consolas"/>
          <w:sz w:val="18"/>
        </w:rPr>
        <w:t>21_me_discriminate.py</w:t>
      </w:r>
      <w:r>
        <w:rPr/>
        <w:t>].</w:t>
      </w:r>
    </w:p>
    <w:p>
      <w:pPr>
        <w:jc w:val="both"/>
      </w:pPr>
      <w:r>
        <w:rPr/>
        <w:t xml:space="preserve">Decoding accuracy would not answer the question. Real movement produces cortical ERD, limb and trunk EMG, and motion artifact, and all three separate task from rest, so a high accuracy would prove nothing about cortex — the trap Section III-E documents. We therefore tested the </w:t>
      </w:r>
      <w:r>
        <w:rPr>
          <w:i/>
        </w:rPr>
        <w:t>signature</w:t>
      </w:r>
      <w:r>
        <w:rPr/>
        <w:t xml:space="preserve"> rather than the separability, on three properties that distinguish a cortical from a peripheral source, with every outcome specified in advance.</w:t>
      </w:r>
    </w:p>
    <w:p>
      <w:pPr>
        <w:jc w:val="both"/>
      </w:pPr>
      <w:r>
        <w:rPr>
          <w:b/>
        </w:rPr>
        <w:t>TABLE V — Motor-execution positive control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shd w:val="clear" w:fill="EEF2F7"/>
          </w:tcPr>
          <w:p>
            <w:pPr>
              <w:spacing w:before="20" w:after="20"/>
            </w:pPr>
            <w:r>
              <w:rPr>
                <w:rFonts w:ascii="Times New Roman" w:hAnsi="Times New Roman"/>
                <w:b/>
                <w:sz w:val="17"/>
              </w:rPr>
            </w:r>
            <w:r>
              <w:rPr>
                <w:rFonts w:ascii="Times New Roman" w:hAnsi="Times New Roman"/>
                <w:b/>
                <w:sz w:val="17"/>
              </w:rPr>
              <w:t>Test</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Prediction if cortical</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Measured</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Verdict</w:t>
            </w:r>
          </w:p>
        </w:tc>
      </w:tr>
      <w:tr>
        <w:tc>
          <w:tcPr>
            <w:tcW w:type="dxa" w:w="2304"/>
          </w:tcPr>
          <w:p>
            <w:pPr>
              <w:spacing w:before="20" w:after="20"/>
            </w:pPr>
            <w:r>
              <w:rPr>
                <w:rFonts w:ascii="Times New Roman" w:hAnsi="Times New Roman"/>
                <w:sz w:val="17"/>
              </w:rPr>
            </w:r>
            <w:r>
              <w:rPr>
                <w:rFonts w:ascii="Times New Roman" w:hAnsi="Times New Roman"/>
                <w:sz w:val="17"/>
              </w:rPr>
              <w:t>Task vs rest, mu 8–13 Hz</w:t>
            </w:r>
          </w:p>
        </w:tc>
        <w:tc>
          <w:tcPr>
            <w:tcW w:type="dxa" w:w="2304"/>
          </w:tcPr>
          <w:p>
            <w:pPr>
              <w:spacing w:before="20" w:after="20"/>
            </w:pPr>
            <w:r>
              <w:rPr>
                <w:rFonts w:ascii="Times New Roman" w:hAnsi="Times New Roman"/>
                <w:sz w:val="17"/>
              </w:rPr>
            </w:r>
            <w:r>
              <w:rPr>
                <w:rFonts w:ascii="Times New Roman" w:hAnsi="Times New Roman"/>
                <w:sz w:val="17"/>
              </w:rPr>
              <w:t>decrease</w:t>
            </w:r>
          </w:p>
        </w:tc>
        <w:tc>
          <w:tcPr>
            <w:tcW w:type="dxa" w:w="2304"/>
          </w:tcPr>
          <w:p>
            <w:pPr>
              <w:spacing w:before="20" w:after="20"/>
            </w:pPr>
            <w:r>
              <w:rPr>
                <w:rFonts w:ascii="Times New Roman" w:hAnsi="Times New Roman"/>
                <w:sz w:val="17"/>
              </w:rPr>
            </w:r>
            <w:r>
              <w:rPr>
                <w:rFonts w:ascii="Times New Roman" w:hAnsi="Times New Roman"/>
                <w:b/>
                <w:sz w:val="17"/>
              </w:rPr>
              <w:t>−2.83 dB</w:t>
            </w:r>
            <w:r>
              <w:rPr>
                <w:rFonts w:ascii="Times New Roman" w:hAnsi="Times New Roman"/>
                <w:sz w:val="17"/>
              </w:rPr>
              <w:t xml:space="preserve">, </w:t>
            </w:r>
            <w:r>
              <w:rPr>
                <w:rFonts w:ascii="Times New Roman" w:hAnsi="Times New Roman"/>
                <w:i/>
                <w:sz w:val="17"/>
              </w:rPr>
              <w:t>p</w:t>
            </w:r>
            <w:r>
              <w:rPr>
                <w:rFonts w:ascii="Times New Roman" w:hAnsi="Times New Roman"/>
                <w:sz w:val="17"/>
              </w:rPr>
              <w:t xml:space="preserve"> = .0015 (−3.69 under CAR, </w:t>
            </w:r>
            <w:r>
              <w:rPr>
                <w:rFonts w:ascii="Times New Roman" w:hAnsi="Times New Roman"/>
                <w:i/>
                <w:sz w:val="17"/>
              </w:rPr>
              <w:t>p</w:t>
            </w:r>
            <w:r>
              <w:rPr>
                <w:rFonts w:ascii="Times New Roman" w:hAnsi="Times New Roman"/>
                <w:sz w:val="17"/>
              </w:rPr>
              <w:t xml:space="preserve"> = .0003)</w:t>
            </w:r>
          </w:p>
        </w:tc>
        <w:tc>
          <w:tcPr>
            <w:tcW w:type="dxa" w:w="2304"/>
          </w:tcPr>
          <w:p>
            <w:pPr>
              <w:spacing w:before="20" w:after="20"/>
            </w:pPr>
            <w:r>
              <w:rPr>
                <w:rFonts w:ascii="Times New Roman" w:hAnsi="Times New Roman"/>
                <w:sz w:val="17"/>
              </w:rPr>
            </w:r>
            <w:r>
              <w:rPr>
                <w:rFonts w:ascii="Times New Roman" w:hAnsi="Times New Roman"/>
                <w:sz w:val="17"/>
              </w:rPr>
              <w:t>consistent</w:t>
            </w:r>
          </w:p>
        </w:tc>
      </w:tr>
      <w:tr>
        <w:tc>
          <w:tcPr>
            <w:tcW w:type="dxa" w:w="2304"/>
          </w:tcPr>
          <w:p>
            <w:pPr>
              <w:spacing w:before="20" w:after="20"/>
            </w:pPr>
            <w:r>
              <w:rPr>
                <w:rFonts w:ascii="Times New Roman" w:hAnsi="Times New Roman"/>
                <w:sz w:val="17"/>
              </w:rPr>
            </w:r>
            <w:r>
              <w:rPr>
                <w:rFonts w:ascii="Times New Roman" w:hAnsi="Times New Roman"/>
                <w:sz w:val="17"/>
              </w:rPr>
              <w:t>Confined to mu/beta</w:t>
            </w:r>
          </w:p>
        </w:tc>
        <w:tc>
          <w:tcPr>
            <w:tcW w:type="dxa" w:w="2304"/>
          </w:tcPr>
          <w:p>
            <w:pPr>
              <w:spacing w:before="20" w:after="20"/>
            </w:pPr>
            <w:r>
              <w:rPr>
                <w:rFonts w:ascii="Times New Roman" w:hAnsi="Times New Roman"/>
                <w:sz w:val="17"/>
              </w:rPr>
            </w:r>
            <w:r>
              <w:rPr>
                <w:rFonts w:ascii="Times New Roman" w:hAnsi="Times New Roman"/>
                <w:sz w:val="17"/>
              </w:rPr>
              <w:t>gamma unaffected</w:t>
            </w:r>
          </w:p>
        </w:tc>
        <w:tc>
          <w:tcPr>
            <w:tcW w:type="dxa" w:w="2304"/>
          </w:tcPr>
          <w:p>
            <w:pPr>
              <w:spacing w:before="20" w:after="20"/>
            </w:pPr>
            <w:r>
              <w:rPr>
                <w:rFonts w:ascii="Times New Roman" w:hAnsi="Times New Roman"/>
                <w:sz w:val="17"/>
              </w:rPr>
            </w:r>
            <w:r>
              <w:rPr>
                <w:rFonts w:ascii="Times New Roman" w:hAnsi="Times New Roman"/>
                <w:sz w:val="17"/>
              </w:rPr>
              <w:t xml:space="preserve">gamma 30–45 Hz </w:t>
            </w:r>
            <w:r>
              <w:rPr>
                <w:rFonts w:ascii="Times New Roman" w:hAnsi="Times New Roman"/>
                <w:b/>
                <w:sz w:val="17"/>
              </w:rPr>
              <w:t>−2.23 dB</w:t>
            </w:r>
            <w:r>
              <w:rPr>
                <w:rFonts w:ascii="Times New Roman" w:hAnsi="Times New Roman"/>
                <w:sz w:val="17"/>
              </w:rPr>
              <w:t xml:space="preserve">, </w:t>
            </w:r>
            <w:r>
              <w:rPr>
                <w:rFonts w:ascii="Times New Roman" w:hAnsi="Times New Roman"/>
                <w:i/>
                <w:sz w:val="17"/>
              </w:rPr>
              <w:t>p</w:t>
            </w:r>
            <w:r>
              <w:rPr>
                <w:rFonts w:ascii="Times New Roman" w:hAnsi="Times New Roman"/>
                <w:sz w:val="17"/>
              </w:rPr>
              <w:t xml:space="preserve"> = .0017</w:t>
            </w:r>
          </w:p>
        </w:tc>
        <w:tc>
          <w:tcPr>
            <w:tcW w:type="dxa" w:w="2304"/>
          </w:tcPr>
          <w:p>
            <w:pPr>
              <w:spacing w:before="20" w:after="20"/>
            </w:pPr>
            <w:r>
              <w:rPr>
                <w:rFonts w:ascii="Times New Roman" w:hAnsi="Times New Roman"/>
                <w:sz w:val="17"/>
              </w:rPr>
            </w:r>
            <w:r>
              <w:rPr>
                <w:rFonts w:ascii="Times New Roman" w:hAnsi="Times New Roman"/>
                <w:b/>
                <w:sz w:val="17"/>
              </w:rPr>
              <w:t>fails</w:t>
            </w:r>
          </w:p>
        </w:tc>
      </w:tr>
      <w:tr>
        <w:tc>
          <w:tcPr>
            <w:tcW w:type="dxa" w:w="2304"/>
          </w:tcPr>
          <w:p>
            <w:pPr>
              <w:spacing w:before="20" w:after="20"/>
            </w:pPr>
            <w:r>
              <w:rPr>
                <w:rFonts w:ascii="Times New Roman" w:hAnsi="Times New Roman"/>
                <w:sz w:val="17"/>
              </w:rPr>
            </w:r>
            <w:r>
              <w:rPr>
                <w:rFonts w:ascii="Times New Roman" w:hAnsi="Times New Roman"/>
                <w:sz w:val="17"/>
              </w:rPr>
              <w:t>Medial focus (foot area)</w:t>
            </w:r>
          </w:p>
        </w:tc>
        <w:tc>
          <w:tcPr>
            <w:tcW w:type="dxa" w:w="2304"/>
          </w:tcPr>
          <w:p>
            <w:pPr>
              <w:spacing w:before="20" w:after="20"/>
            </w:pPr>
            <w:r>
              <w:rPr>
                <w:rFonts w:ascii="Times New Roman" w:hAnsi="Times New Roman"/>
                <w:sz w:val="17"/>
              </w:rPr>
            </w:r>
            <w:r>
              <w:rPr>
                <w:rFonts w:ascii="Times New Roman" w:hAnsi="Times New Roman"/>
                <w:sz w:val="17"/>
              </w:rPr>
              <w:t>Cz/CPz &gt; FC3/FC4</w:t>
            </w:r>
          </w:p>
        </w:tc>
        <w:tc>
          <w:tcPr>
            <w:tcW w:type="dxa" w:w="2304"/>
          </w:tcPr>
          <w:p>
            <w:pPr>
              <w:spacing w:before="20" w:after="20"/>
            </w:pPr>
            <w:r>
              <w:rPr>
                <w:rFonts w:ascii="Times New Roman" w:hAnsi="Times New Roman"/>
                <w:sz w:val="17"/>
              </w:rPr>
            </w:r>
            <w:r>
              <w:rPr>
                <w:rFonts w:ascii="Times New Roman" w:hAnsi="Times New Roman"/>
                <w:sz w:val="17"/>
              </w:rPr>
              <w:t xml:space="preserve">medial − lateral </w:t>
            </w:r>
            <w:r>
              <w:rPr>
                <w:rFonts w:ascii="Times New Roman" w:hAnsi="Times New Roman"/>
                <w:b/>
                <w:sz w:val="17"/>
              </w:rPr>
              <w:t>+0.56 dB</w:t>
            </w:r>
            <w:r>
              <w:rPr>
                <w:rFonts w:ascii="Times New Roman" w:hAnsi="Times New Roman"/>
                <w:sz w:val="17"/>
              </w:rPr>
              <w:t xml:space="preserve">, </w:t>
            </w:r>
            <w:r>
              <w:rPr>
                <w:rFonts w:ascii="Times New Roman" w:hAnsi="Times New Roman"/>
                <w:i/>
                <w:sz w:val="17"/>
              </w:rPr>
              <w:t>p</w:t>
            </w:r>
            <w:r>
              <w:rPr>
                <w:rFonts w:ascii="Times New Roman" w:hAnsi="Times New Roman"/>
                <w:sz w:val="17"/>
              </w:rPr>
              <w:t xml:space="preserve"> = .299</w:t>
            </w:r>
          </w:p>
        </w:tc>
        <w:tc>
          <w:tcPr>
            <w:tcW w:type="dxa" w:w="2304"/>
          </w:tcPr>
          <w:p>
            <w:pPr>
              <w:spacing w:before="20" w:after="20"/>
            </w:pPr>
            <w:r>
              <w:rPr>
                <w:rFonts w:ascii="Times New Roman" w:hAnsi="Times New Roman"/>
                <w:sz w:val="17"/>
              </w:rPr>
            </w:r>
            <w:r>
              <w:rPr>
                <w:rFonts w:ascii="Times New Roman" w:hAnsi="Times New Roman"/>
                <w:b/>
                <w:sz w:val="17"/>
              </w:rPr>
              <w:t>fails</w:t>
            </w:r>
          </w:p>
        </w:tc>
      </w:tr>
      <w:tr>
        <w:tc>
          <w:tcPr>
            <w:tcW w:type="dxa" w:w="2304"/>
          </w:tcPr>
          <w:p>
            <w:pPr>
              <w:spacing w:before="20" w:after="20"/>
            </w:pPr>
            <w:r>
              <w:rPr>
                <w:rFonts w:ascii="Times New Roman" w:hAnsi="Times New Roman"/>
                <w:sz w:val="17"/>
              </w:rPr>
            </w:r>
            <w:r>
              <w:rPr>
                <w:rFonts w:ascii="Times New Roman" w:hAnsi="Times New Roman"/>
                <w:b/>
                <w:sz w:val="17"/>
              </w:rPr>
              <w:t>T1</w:t>
            </w:r>
            <w:r>
              <w:rPr>
                <w:rFonts w:ascii="Times New Roman" w:hAnsi="Times New Roman"/>
                <w:sz w:val="17"/>
              </w:rPr>
              <w:t xml:space="preserve"> mu-specific trough</w:t>
            </w:r>
          </w:p>
        </w:tc>
        <w:tc>
          <w:tcPr>
            <w:tcW w:type="dxa" w:w="2304"/>
          </w:tcPr>
          <w:p>
            <w:pPr>
              <w:spacing w:before="20" w:after="20"/>
            </w:pPr>
            <w:r>
              <w:rPr>
                <w:rFonts w:ascii="Times New Roman" w:hAnsi="Times New Roman"/>
                <w:sz w:val="17"/>
              </w:rPr>
            </w:r>
            <w:r>
              <w:rPr>
                <w:rFonts w:ascii="Times New Roman" w:hAnsi="Times New Roman"/>
                <w:sz w:val="17"/>
              </w:rPr>
              <w:t>trough at individual mu</w:t>
            </w:r>
          </w:p>
        </w:tc>
        <w:tc>
          <w:tcPr>
            <w:tcW w:type="dxa" w:w="2304"/>
          </w:tcPr>
          <w:p>
            <w:pPr>
              <w:spacing w:before="20" w:after="20"/>
            </w:pPr>
            <w:r>
              <w:rPr>
                <w:rFonts w:ascii="Times New Roman" w:hAnsi="Times New Roman"/>
                <w:sz w:val="17"/>
              </w:rPr>
            </w:r>
            <w:r>
              <w:rPr>
                <w:rFonts w:ascii="Times New Roman" w:hAnsi="Times New Roman"/>
                <w:b/>
                <w:sz w:val="17"/>
              </w:rPr>
              <w:t>−1.56 dB</w:t>
            </w:r>
            <w:r>
              <w:rPr>
                <w:rFonts w:ascii="Times New Roman" w:hAnsi="Times New Roman"/>
                <w:sz w:val="17"/>
              </w:rPr>
              <w:t xml:space="preserve"> below the gamma level, </w:t>
            </w:r>
            <w:r>
              <w:rPr>
                <w:rFonts w:ascii="Times New Roman" w:hAnsi="Times New Roman"/>
                <w:i/>
                <w:sz w:val="17"/>
              </w:rPr>
              <w:t>t</w:t>
            </w:r>
            <w:r>
              <w:rPr>
                <w:rFonts w:ascii="Times New Roman" w:hAnsi="Times New Roman"/>
                <w:sz w:val="17"/>
              </w:rPr>
              <w:t xml:space="preserve"> = −4.16, </w:t>
            </w:r>
            <w:r>
              <w:rPr>
                <w:rFonts w:ascii="Times New Roman" w:hAnsi="Times New Roman"/>
                <w:i/>
                <w:sz w:val="17"/>
              </w:rPr>
              <w:t>p</w:t>
            </w:r>
            <w:r>
              <w:rPr>
                <w:rFonts w:ascii="Times New Roman" w:hAnsi="Times New Roman"/>
                <w:sz w:val="17"/>
              </w:rPr>
              <w:t xml:space="preserve"> = .0032</w:t>
            </w:r>
          </w:p>
        </w:tc>
        <w:tc>
          <w:tcPr>
            <w:tcW w:type="dxa" w:w="2304"/>
          </w:tcPr>
          <w:p>
            <w:pPr>
              <w:spacing w:before="20" w:after="20"/>
            </w:pPr>
            <w:r>
              <w:rPr>
                <w:rFonts w:ascii="Times New Roman" w:hAnsi="Times New Roman"/>
                <w:sz w:val="17"/>
              </w:rPr>
            </w:r>
            <w:r>
              <w:rPr>
                <w:rFonts w:ascii="Times New Roman" w:hAnsi="Times New Roman"/>
                <w:sz w:val="17"/>
              </w:rPr>
              <w:t>consistent</w:t>
            </w:r>
          </w:p>
        </w:tc>
      </w:tr>
      <w:tr>
        <w:tc>
          <w:tcPr>
            <w:tcW w:type="dxa" w:w="2304"/>
          </w:tcPr>
          <w:p>
            <w:pPr>
              <w:spacing w:before="20" w:after="20"/>
            </w:pPr>
            <w:r>
              <w:rPr>
                <w:rFonts w:ascii="Times New Roman" w:hAnsi="Times New Roman"/>
                <w:sz w:val="17"/>
              </w:rPr>
            </w:r>
            <w:r>
              <w:rPr>
                <w:rFonts w:ascii="Times New Roman" w:hAnsi="Times New Roman"/>
                <w:b/>
                <w:sz w:val="17"/>
              </w:rPr>
              <w:t>T2</w:t>
            </w:r>
            <w:r>
              <w:rPr>
                <w:rFonts w:ascii="Times New Roman" w:hAnsi="Times New Roman"/>
                <w:sz w:val="17"/>
              </w:rPr>
              <w:t xml:space="preserve"> post-movement beta rebound</w:t>
            </w:r>
          </w:p>
        </w:tc>
        <w:tc>
          <w:tcPr>
            <w:tcW w:type="dxa" w:w="2304"/>
          </w:tcPr>
          <w:p>
            <w:pPr>
              <w:spacing w:before="20" w:after="20"/>
            </w:pPr>
            <w:r>
              <w:rPr>
                <w:rFonts w:ascii="Times New Roman" w:hAnsi="Times New Roman"/>
                <w:sz w:val="17"/>
              </w:rPr>
            </w:r>
            <w:r>
              <w:rPr>
                <w:rFonts w:ascii="Times New Roman" w:hAnsi="Times New Roman"/>
                <w:sz w:val="17"/>
              </w:rPr>
              <w:t>rise after movement offset</w:t>
            </w:r>
          </w:p>
        </w:tc>
        <w:tc>
          <w:tcPr>
            <w:tcW w:type="dxa" w:w="2304"/>
          </w:tcPr>
          <w:p>
            <w:pPr>
              <w:spacing w:before="20" w:after="20"/>
            </w:pPr>
            <w:r>
              <w:rPr>
                <w:rFonts w:ascii="Times New Roman" w:hAnsi="Times New Roman"/>
                <w:sz w:val="17"/>
              </w:rPr>
            </w:r>
            <w:r>
              <w:rPr>
                <w:rFonts w:ascii="Times New Roman" w:hAnsi="Times New Roman"/>
                <w:sz w:val="17"/>
              </w:rPr>
              <w:t xml:space="preserve">beta </w:t>
            </w:r>
            <w:r>
              <w:rPr>
                <w:rFonts w:ascii="Times New Roman" w:hAnsi="Times New Roman"/>
                <w:b/>
                <w:sz w:val="17"/>
              </w:rPr>
              <w:t>+2.70 dB during</w:t>
            </w:r>
            <w:r>
              <w:rPr>
                <w:rFonts w:ascii="Times New Roman" w:hAnsi="Times New Roman"/>
                <w:sz w:val="17"/>
              </w:rPr>
              <w:t xml:space="preserve"> movement (</w:t>
            </w:r>
            <w:r>
              <w:rPr>
                <w:rFonts w:ascii="Times New Roman" w:hAnsi="Times New Roman"/>
                <w:i/>
                <w:sz w:val="17"/>
              </w:rPr>
              <w:t>p</w:t>
            </w:r>
            <w:r>
              <w:rPr>
                <w:rFonts w:ascii="Times New Roman" w:hAnsi="Times New Roman"/>
                <w:sz w:val="17"/>
              </w:rPr>
              <w:t xml:space="preserve"> = .0046) and </w:t>
            </w:r>
            <w:r>
              <w:rPr>
                <w:rFonts w:ascii="Times New Roman" w:hAnsi="Times New Roman"/>
                <w:b/>
                <w:sz w:val="17"/>
              </w:rPr>
              <w:t>−1.67 dB after</w:t>
            </w:r>
            <w:r>
              <w:rPr>
                <w:rFonts w:ascii="Times New Roman" w:hAnsi="Times New Roman"/>
                <w:sz w:val="17"/>
              </w:rPr>
              <w:t xml:space="preserve"> (</w:t>
            </w:r>
            <w:r>
              <w:rPr>
                <w:rFonts w:ascii="Times New Roman" w:hAnsi="Times New Roman"/>
                <w:i/>
                <w:sz w:val="17"/>
              </w:rPr>
              <w:t>p</w:t>
            </w:r>
            <w:r>
              <w:rPr>
                <w:rFonts w:ascii="Times New Roman" w:hAnsi="Times New Roman"/>
                <w:sz w:val="17"/>
              </w:rPr>
              <w:t xml:space="preserve"> = .0119) — the opposite</w:t>
            </w:r>
          </w:p>
        </w:tc>
        <w:tc>
          <w:tcPr>
            <w:tcW w:type="dxa" w:w="2304"/>
          </w:tcPr>
          <w:p>
            <w:pPr>
              <w:spacing w:before="20" w:after="20"/>
            </w:pPr>
            <w:r>
              <w:rPr>
                <w:rFonts w:ascii="Times New Roman" w:hAnsi="Times New Roman"/>
                <w:sz w:val="17"/>
              </w:rPr>
            </w:r>
            <w:r>
              <w:rPr>
                <w:rFonts w:ascii="Times New Roman" w:hAnsi="Times New Roman"/>
                <w:b/>
                <w:sz w:val="17"/>
              </w:rPr>
              <w:t>fails</w:t>
            </w:r>
          </w:p>
        </w:tc>
      </w:tr>
      <w:tr>
        <w:tc>
          <w:tcPr>
            <w:tcW w:type="dxa" w:w="2304"/>
          </w:tcPr>
          <w:p>
            <w:pPr>
              <w:spacing w:before="20" w:after="20"/>
            </w:pPr>
            <w:r>
              <w:rPr>
                <w:rFonts w:ascii="Times New Roman" w:hAnsi="Times New Roman"/>
                <w:sz w:val="17"/>
              </w:rPr>
            </w:r>
            <w:r>
              <w:rPr>
                <w:rFonts w:ascii="Times New Roman" w:hAnsi="Times New Roman"/>
                <w:b/>
                <w:sz w:val="17"/>
              </w:rPr>
              <w:t>T3</w:t>
            </w:r>
            <w:r>
              <w:rPr>
                <w:rFonts w:ascii="Times New Roman" w:hAnsi="Times New Roman"/>
                <w:sz w:val="17"/>
              </w:rPr>
              <w:t xml:space="preserve"> executed TaskA vs TaskB</w:t>
            </w:r>
          </w:p>
        </w:tc>
        <w:tc>
          <w:tcPr>
            <w:tcW w:type="dxa" w:w="2304"/>
          </w:tcPr>
          <w:p>
            <w:pPr>
              <w:spacing w:before="20" w:after="20"/>
            </w:pPr>
            <w:r>
              <w:rPr>
                <w:rFonts w:ascii="Times New Roman" w:hAnsi="Times New Roman"/>
                <w:sz w:val="17"/>
              </w:rPr>
            </w:r>
            <w:r>
              <w:rPr>
                <w:rFonts w:ascii="Times New Roman" w:hAnsi="Times New Roman"/>
                <w:sz w:val="17"/>
              </w:rPr>
              <w:t>—</w:t>
            </w:r>
          </w:p>
        </w:tc>
        <w:tc>
          <w:tcPr>
            <w:tcW w:type="dxa" w:w="2304"/>
          </w:tcPr>
          <w:p>
            <w:pPr>
              <w:spacing w:before="20" w:after="20"/>
            </w:pPr>
            <w:r>
              <w:rPr>
                <w:rFonts w:ascii="Times New Roman" w:hAnsi="Times New Roman"/>
                <w:sz w:val="17"/>
              </w:rPr>
            </w:r>
            <w:r>
              <w:rPr>
                <w:rFonts w:ascii="Times New Roman" w:hAnsi="Times New Roman"/>
                <w:b/>
                <w:sz w:val="17"/>
              </w:rPr>
              <w:t>91.1 %</w:t>
            </w:r>
            <w:r>
              <w:rPr>
                <w:rFonts w:ascii="Times New Roman" w:hAnsi="Times New Roman"/>
                <w:sz w:val="17"/>
              </w:rPr>
              <w:t xml:space="preserve"> (range 71.9–100), </w:t>
            </w:r>
            <w:r>
              <w:rPr>
                <w:rFonts w:ascii="Times New Roman" w:hAnsi="Times New Roman"/>
                <w:i/>
                <w:sz w:val="17"/>
              </w:rPr>
              <w:t>t</w:t>
            </w:r>
            <w:r>
              <w:rPr>
                <w:rFonts w:ascii="Times New Roman" w:hAnsi="Times New Roman"/>
                <w:sz w:val="17"/>
              </w:rPr>
              <w:t xml:space="preserve"> = +14.27, </w:t>
            </w:r>
            <w:r>
              <w:rPr>
                <w:rFonts w:ascii="Times New Roman" w:hAnsi="Times New Roman"/>
                <w:i/>
                <w:sz w:val="17"/>
              </w:rPr>
              <w:t>p</w:t>
            </w:r>
            <w:r>
              <w:rPr>
                <w:rFonts w:ascii="Times New Roman" w:hAnsi="Times New Roman"/>
                <w:sz w:val="17"/>
              </w:rPr>
              <w:t xml:space="preserve"> &lt; .0001</w:t>
            </w:r>
          </w:p>
        </w:tc>
        <w:tc>
          <w:tcPr>
            <w:tcW w:type="dxa" w:w="2304"/>
          </w:tcPr>
          <w:p>
            <w:pPr>
              <w:spacing w:before="20" w:after="20"/>
            </w:pPr>
            <w:r>
              <w:rPr>
                <w:rFonts w:ascii="Times New Roman" w:hAnsi="Times New Roman"/>
                <w:sz w:val="17"/>
              </w:rPr>
            </w:r>
            <w:r>
              <w:rPr>
                <w:rFonts w:ascii="Times New Roman" w:hAnsi="Times New Roman"/>
                <w:sz w:val="17"/>
              </w:rPr>
              <w:t>see below</w:t>
            </w:r>
          </w:p>
        </w:tc>
      </w:tr>
    </w:tbl>
    <w:p/>
    <w:p>
      <w:pPr>
        <w:jc w:val="both"/>
      </w:pPr>
      <w:r>
        <w:rPr/>
        <w:t>Three findings follow, and together they resolve the interpretation of the whole paper.</w:t>
      </w:r>
    </w:p>
    <w:p>
      <w:pPr>
        <w:jc w:val="both"/>
      </w:pPr>
      <w:r>
        <w:rPr>
          <w:b/>
        </w:rPr>
        <w:t>The recording chain works.</w:t>
      </w:r>
      <w:r>
        <w:rPr/>
        <w:t xml:space="preserve"> Executed movements separate at 91 % in every participant. Electrodes, amplifier, synchronisation, epoching and decoder are all functional, so no result in this paper can be attributed to a broken pipeline or an unusable recording. This is the single most useful thing the control establishes.</w:t>
      </w:r>
    </w:p>
    <w:p>
      <w:pPr>
        <w:jc w:val="both"/>
      </w:pPr>
      <w:r>
        <w:rPr>
          <w:b/>
        </w:rPr>
        <w:t>What separates them is peripheral, not cortical.</w:t>
      </w:r>
      <w:r>
        <w:rPr/>
        <w:t xml:space="preserve"> T2 is decisive. Genuine motor execution produces beta desynchronisation </w:t>
      </w:r>
      <w:r>
        <w:rPr>
          <w:i/>
        </w:rPr>
        <w:t>during</w:t>
      </w:r>
      <w:r>
        <w:rPr/>
        <w:t xml:space="preserve"> movement and a beta rebound </w:t>
      </w:r>
      <w:r>
        <w:rPr>
          <w:i/>
        </w:rPr>
        <w:t>after</w:t>
      </w:r>
      <w:r>
        <w:rPr/>
        <w:t xml:space="preserve"> offset; the rebound is a cortical signature that muscle cannot imitate, because muscle stops when movement stops rather than overshooting upward. We measured the reverse: beta rises 2.70 dB during movement and decays afterwards, which is the time course of electromyogram. The 91 % of T3 is therefore a peripheral result, and the failure of the medial-focus and band-confinement tests follows from the same source.</w:t>
      </w:r>
    </w:p>
    <w:p>
      <w:pPr>
        <w:jc w:val="both"/>
      </w:pPr>
      <w:r>
        <w:rPr>
          <w:b/>
        </w:rPr>
        <w:t>A weak cortical component is nonetheless present.</w:t>
      </w:r>
      <w:r>
        <w:rPr/>
        <w:t xml:space="preserve"> T1 finds a mu-specific trough of 1.56 dB </w:t>
      </w:r>
      <w:r>
        <w:rPr>
          <w:i/>
        </w:rPr>
        <w:t>below</w:t>
      </w:r>
      <w:r>
        <w:rPr/>
        <w:t xml:space="preserve"> the broadband shift (</w:t>
      </w:r>
      <w:r>
        <w:rPr>
          <w:i/>
        </w:rPr>
        <w:t>p</w:t>
      </w:r>
      <w:r>
        <w:rPr/>
        <w:t xml:space="preserve"> = .0032), so the change is not spectrally flat. Cortical activity is measurable on this montage; it is simply small relative to whatever peripheral signal accompanies it.</w:t>
      </w:r>
    </w:p>
    <w:p>
      <w:pPr>
        <w:jc w:val="both"/>
      </w:pPr>
      <w:r>
        <w:rPr>
          <w:i/>
        </w:rPr>
        <w:t>One quantity had to be reconciled. Against the rest condition the executed task shows a beta</w:t>
      </w:r>
      <w:r>
        <w:rPr/>
        <w:t xml:space="preserve"> decrease </w:t>
      </w:r>
      <w:r>
        <w:rPr>
          <w:i/>
        </w:rPr>
        <w:t>(−2.10 dB), but against the within-trial pre-cue baseline it shows an</w:t>
      </w:r>
      <w:r>
        <w:rPr/>
        <w:t xml:space="preserve"> increase </w:t>
      </w:r>
      <w:r>
        <w:rPr>
          <w:i/>
        </w:rPr>
        <w:t>(+2.70 dB). Both are correct: relative to their own pre-cue baselines the rest condition rises +3.78 dB (p = .0023) and the task conditions +2.70 dB (p = .0046), so the ME rest condition is not a quiet baseline and the negative difference reflects rest rising more. We report the decomposition rather than the difference alone.</w:t>
      </w:r>
    </w:p>
    <w:p>
      <w:pPr>
        <w:jc w:val="both"/>
      </w:pPr>
      <w:r>
        <w:rPr>
          <w:b/>
        </w:rPr>
        <w:t>This validates the M1–M4 screens rather than undermining them.</w:t>
      </w:r>
      <w:r>
        <w:rPr/>
        <w:t xml:space="preserve"> The screens classified the execution data as non-cortical, and T2 independently confirms that classification by a criterion the screens do not use. The concern that Section III-E rejected participant P06 on criteria too strict to admit genuine motor activity is therefore not supported: the criteria were correct, and the signature they demanded is genuinely absent even when movement is real.</w:t>
      </w:r>
    </w:p>
    <w:p>
      <w:pPr>
        <w:pStyle w:val="Heading3"/>
        <w:spacing w:before="200" w:after="80"/>
      </w:pPr>
      <w:r>
        <w:rPr>
          <w:rFonts w:ascii="Times New Roman" w:hAnsi="Times New Roman"/>
          <w:color w:val="1F2328"/>
          <w:sz w:val="23"/>
        </w:rPr>
        <w:t>J. Exploratory analysis — peak laterality in the beta band</w:t>
      </w:r>
    </w:p>
    <w:p>
      <w:pPr>
        <w:jc w:val="both"/>
      </w:pPr>
      <w:r>
        <w:rPr>
          <w:i/>
        </w:rPr>
        <w:t>This subsection is exploratory and is reported as such. It does not meet the significance criterion once the search that produced it is accounted for (below), and no claim in the Abstract or Conclusion rests on it.</w:t>
      </w:r>
    </w:p>
    <w:p>
      <w:pPr>
        <w:jc w:val="both"/>
      </w:pPr>
      <w:r>
        <w:rPr>
          <w:b/>
        </w:rPr>
        <w:t>Motivation.</w:t>
      </w:r>
      <w:r>
        <w:rPr/>
        <w:t xml:space="preserve"> The compound-limbs manipulation adopted from [1] pairs a right-foot step with a LEFT-arm swing, which predicts a right-hemisphere dominant response. Section III-D showed no such asymmetry in the trial average, but a trial average cannot see it: the instruction specifies two steps, so both compound configurations occur inside one trial and cancel.</w:t>
      </w:r>
    </w:p>
    <w:p>
      <w:pPr>
        <w:jc w:val="both"/>
      </w:pPr>
      <w:r>
        <w:rPr>
          <w:b/>
        </w:rPr>
        <w:t>Method.</w:t>
      </w:r>
      <w:r>
        <w:rPr/>
        <w:t xml:space="preserve"> For each trial independently, and without reference to its label, we located the instant of maximum laterality — max |LI(t)| where LI = 10·log10(right-hemisphere over left-hemisphere band power, over {FC4,C4,CP4} vs {FC3,C3,CP3}) — and measured the signed laterality there. The identical procedure was applied to all three conditions.</w:t>
      </w:r>
    </w:p>
    <w:p>
      <w:pPr>
        <w:jc w:val="both"/>
      </w:pPr>
      <w:r>
        <w:rPr>
          <w:b/>
        </w:rPr>
        <w:t>Observations</w:t>
      </w:r>
      <w:r>
        <w:rPr/>
        <w:t xml:space="preserve"> (beta 13–30 Hz; the same analysis in mu did not survive the jackknife below and is not reported) [</w:t>
      </w:r>
      <w:r>
        <w:rPr>
          <w:rFonts w:ascii="Consolas" w:hAnsi="Consolas"/>
          <w:sz w:val="18"/>
        </w:rPr>
        <w:t>14_peak_compound.py</w:t>
      </w:r>
      <w:r>
        <w:rPr/>
        <w:t xml:space="preserve">, </w:t>
      </w:r>
      <w:r>
        <w:rPr>
          <w:rFonts w:ascii="Consolas" w:hAnsi="Consolas"/>
          <w:sz w:val="18"/>
        </w:rPr>
        <w:t>15_peak_locked.py</w:t>
      </w:r>
      <w:r>
        <w:rPr/>
        <w:t xml:space="preserve">, </w:t>
      </w:r>
      <w:r>
        <w:rPr>
          <w:rFonts w:ascii="Consolas" w:hAnsi="Consolas"/>
          <w:sz w:val="18"/>
        </w:rPr>
        <w:t>16_p1b_robustness.py</w:t>
      </w:r>
      <w:r>
        <w:rPr/>
        <w: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72"/>
            <w:shd w:val="clear" w:fill="EEF2F7"/>
          </w:tcPr>
          <w:p>
            <w:pPr>
              <w:spacing w:before="20" w:after="20"/>
            </w:pPr>
            <w:r>
              <w:rPr>
                <w:rFonts w:ascii="Times New Roman" w:hAnsi="Times New Roman"/>
                <w:b/>
                <w:sz w:val="17"/>
              </w:rPr>
            </w:r>
          </w:p>
        </w:tc>
        <w:tc>
          <w:tcPr>
            <w:tcW w:type="dxa" w:w="3072"/>
            <w:shd w:val="clear" w:fill="EEF2F7"/>
          </w:tcPr>
          <w:p>
            <w:pPr>
              <w:spacing w:before="20" w:after="20"/>
            </w:pPr>
            <w:r>
              <w:rPr>
                <w:rFonts w:ascii="Times New Roman" w:hAnsi="Times New Roman"/>
                <w:b/>
                <w:sz w:val="17"/>
              </w:rPr>
            </w:r>
            <w:r>
              <w:rPr>
                <w:rFonts w:ascii="Times New Roman" w:hAnsi="Times New Roman"/>
                <w:b/>
                <w:sz w:val="17"/>
              </w:rPr>
              <w:t>Walk − Stand</w:t>
            </w:r>
          </w:p>
        </w:tc>
        <w:tc>
          <w:tcPr>
            <w:tcW w:type="dxa" w:w="3072"/>
            <w:shd w:val="clear" w:fill="EEF2F7"/>
          </w:tcPr>
          <w:p>
            <w:pPr>
              <w:spacing w:before="20" w:after="20"/>
            </w:pPr>
            <w:r>
              <w:rPr>
                <w:rFonts w:ascii="Times New Roman" w:hAnsi="Times New Roman"/>
                <w:b/>
                <w:sz w:val="17"/>
              </w:rPr>
            </w:r>
            <w:r>
              <w:rPr>
                <w:rFonts w:ascii="Times New Roman" w:hAnsi="Times New Roman"/>
                <w:b/>
                <w:i/>
                <w:sz w:val="17"/>
              </w:rPr>
              <w:t>p</w:t>
            </w:r>
          </w:p>
        </w:tc>
      </w:tr>
      <w:tr>
        <w:tc>
          <w:tcPr>
            <w:tcW w:type="dxa" w:w="3072"/>
          </w:tcPr>
          <w:p>
            <w:pPr>
              <w:spacing w:before="20" w:after="20"/>
            </w:pPr>
            <w:r>
              <w:rPr>
                <w:rFonts w:ascii="Times New Roman" w:hAnsi="Times New Roman"/>
                <w:sz w:val="17"/>
              </w:rPr>
            </w:r>
            <w:r>
              <w:rPr>
                <w:rFonts w:ascii="Times New Roman" w:hAnsi="Times New Roman"/>
                <w:sz w:val="17"/>
              </w:rPr>
              <w:t>Signed laterality at the peak instant</w:t>
            </w:r>
          </w:p>
        </w:tc>
        <w:tc>
          <w:tcPr>
            <w:tcW w:type="dxa" w:w="3072"/>
          </w:tcPr>
          <w:p>
            <w:pPr>
              <w:spacing w:before="20" w:after="20"/>
            </w:pPr>
            <w:r>
              <w:rPr>
                <w:rFonts w:ascii="Times New Roman" w:hAnsi="Times New Roman"/>
                <w:sz w:val="17"/>
              </w:rPr>
            </w:r>
            <w:r>
              <w:rPr>
                <w:rFonts w:ascii="Times New Roman" w:hAnsi="Times New Roman"/>
                <w:sz w:val="17"/>
              </w:rPr>
              <w:t>+1.02 dB</w:t>
            </w:r>
          </w:p>
        </w:tc>
        <w:tc>
          <w:tcPr>
            <w:tcW w:type="dxa" w:w="3072"/>
          </w:tcPr>
          <w:p>
            <w:pPr>
              <w:spacing w:before="20" w:after="20"/>
            </w:pPr>
            <w:r>
              <w:rPr>
                <w:rFonts w:ascii="Times New Roman" w:hAnsi="Times New Roman"/>
                <w:sz w:val="17"/>
              </w:rPr>
            </w:r>
            <w:r>
              <w:rPr>
                <w:rFonts w:ascii="Times New Roman" w:hAnsi="Times New Roman"/>
                <w:sz w:val="17"/>
              </w:rPr>
              <w:t>.083</w:t>
            </w:r>
          </w:p>
        </w:tc>
      </w:tr>
      <w:tr>
        <w:tc>
          <w:tcPr>
            <w:tcW w:type="dxa" w:w="3072"/>
          </w:tcPr>
          <w:p>
            <w:pPr>
              <w:spacing w:before="20" w:after="20"/>
            </w:pPr>
            <w:r>
              <w:rPr>
                <w:rFonts w:ascii="Times New Roman" w:hAnsi="Times New Roman"/>
                <w:sz w:val="17"/>
              </w:rPr>
            </w:r>
            <w:r>
              <w:rPr>
                <w:rFonts w:ascii="Times New Roman" w:hAnsi="Times New Roman"/>
                <w:sz w:val="17"/>
              </w:rPr>
              <w:t>FC3/FC4 pair, own peak selection</w:t>
            </w:r>
          </w:p>
        </w:tc>
        <w:tc>
          <w:tcPr>
            <w:tcW w:type="dxa" w:w="3072"/>
          </w:tcPr>
          <w:p>
            <w:pPr>
              <w:spacing w:before="20" w:after="20"/>
            </w:pPr>
            <w:r>
              <w:rPr>
                <w:rFonts w:ascii="Times New Roman" w:hAnsi="Times New Roman"/>
                <w:sz w:val="17"/>
              </w:rPr>
            </w:r>
            <w:r>
              <w:rPr>
                <w:rFonts w:ascii="Times New Roman" w:hAnsi="Times New Roman"/>
                <w:sz w:val="17"/>
              </w:rPr>
              <w:t>+0.32 dB</w:t>
            </w:r>
          </w:p>
        </w:tc>
        <w:tc>
          <w:tcPr>
            <w:tcW w:type="dxa" w:w="3072"/>
          </w:tcPr>
          <w:p>
            <w:pPr>
              <w:spacing w:before="20" w:after="20"/>
            </w:pPr>
            <w:r>
              <w:rPr>
                <w:rFonts w:ascii="Times New Roman" w:hAnsi="Times New Roman"/>
                <w:sz w:val="17"/>
              </w:rPr>
            </w:r>
            <w:r>
              <w:rPr>
                <w:rFonts w:ascii="Times New Roman" w:hAnsi="Times New Roman"/>
                <w:sz w:val="17"/>
              </w:rPr>
              <w:t>.262</w:t>
            </w:r>
          </w:p>
        </w:tc>
      </w:tr>
      <w:tr>
        <w:tc>
          <w:tcPr>
            <w:tcW w:type="dxa" w:w="3072"/>
          </w:tcPr>
          <w:p>
            <w:pPr>
              <w:spacing w:before="20" w:after="20"/>
            </w:pPr>
            <w:r>
              <w:rPr>
                <w:rFonts w:ascii="Times New Roman" w:hAnsi="Times New Roman"/>
                <w:sz w:val="17"/>
              </w:rPr>
            </w:r>
            <w:r>
              <w:rPr>
                <w:rFonts w:ascii="Times New Roman" w:hAnsi="Times New Roman"/>
                <w:sz w:val="17"/>
              </w:rPr>
              <w:t>C3/C4 pair</w:t>
            </w:r>
          </w:p>
        </w:tc>
        <w:tc>
          <w:tcPr>
            <w:tcW w:type="dxa" w:w="3072"/>
          </w:tcPr>
          <w:p>
            <w:pPr>
              <w:spacing w:before="20" w:after="20"/>
            </w:pPr>
            <w:r>
              <w:rPr>
                <w:rFonts w:ascii="Times New Roman" w:hAnsi="Times New Roman"/>
                <w:sz w:val="17"/>
              </w:rPr>
            </w:r>
            <w:r>
              <w:rPr>
                <w:rFonts w:ascii="Times New Roman" w:hAnsi="Times New Roman"/>
                <w:sz w:val="17"/>
              </w:rPr>
              <w:t>+0.66 dB</w:t>
            </w:r>
          </w:p>
        </w:tc>
        <w:tc>
          <w:tcPr>
            <w:tcW w:type="dxa" w:w="3072"/>
          </w:tcPr>
          <w:p>
            <w:pPr>
              <w:spacing w:before="20" w:after="20"/>
            </w:pPr>
            <w:r>
              <w:rPr>
                <w:rFonts w:ascii="Times New Roman" w:hAnsi="Times New Roman"/>
                <w:sz w:val="17"/>
              </w:rPr>
            </w:r>
            <w:r>
              <w:rPr>
                <w:rFonts w:ascii="Times New Roman" w:hAnsi="Times New Roman"/>
                <w:sz w:val="17"/>
              </w:rPr>
              <w:t>.063</w:t>
            </w:r>
          </w:p>
        </w:tc>
      </w:tr>
      <w:tr>
        <w:tc>
          <w:tcPr>
            <w:tcW w:type="dxa" w:w="3072"/>
          </w:tcPr>
          <w:p>
            <w:pPr>
              <w:spacing w:before="20" w:after="20"/>
            </w:pPr>
            <w:r>
              <w:rPr>
                <w:rFonts w:ascii="Times New Roman" w:hAnsi="Times New Roman"/>
                <w:sz w:val="17"/>
              </w:rPr>
            </w:r>
            <w:r>
              <w:rPr>
                <w:rFonts w:ascii="Times New Roman" w:hAnsi="Times New Roman"/>
                <w:sz w:val="17"/>
              </w:rPr>
              <w:t>CP3/CP4 pair</w:t>
            </w:r>
          </w:p>
        </w:tc>
        <w:tc>
          <w:tcPr>
            <w:tcW w:type="dxa" w:w="3072"/>
          </w:tcPr>
          <w:p>
            <w:pPr>
              <w:spacing w:before="20" w:after="20"/>
            </w:pPr>
            <w:r>
              <w:rPr>
                <w:rFonts w:ascii="Times New Roman" w:hAnsi="Times New Roman"/>
                <w:sz w:val="17"/>
              </w:rPr>
            </w:r>
            <w:r>
              <w:rPr>
                <w:rFonts w:ascii="Times New Roman" w:hAnsi="Times New Roman"/>
                <w:sz w:val="17"/>
              </w:rPr>
              <w:t>+1.03 dB</w:t>
            </w:r>
          </w:p>
        </w:tc>
        <w:tc>
          <w:tcPr>
            <w:tcW w:type="dxa" w:w="3072"/>
          </w:tcPr>
          <w:p>
            <w:pPr>
              <w:spacing w:before="20" w:after="20"/>
            </w:pPr>
            <w:r>
              <w:rPr>
                <w:rFonts w:ascii="Times New Roman" w:hAnsi="Times New Roman"/>
                <w:sz w:val="17"/>
              </w:rPr>
            </w:r>
            <w:r>
              <w:rPr>
                <w:rFonts w:ascii="Times New Roman" w:hAnsi="Times New Roman"/>
                <w:sz w:val="17"/>
              </w:rPr>
              <w:t>.083</w:t>
            </w:r>
          </w:p>
        </w:tc>
      </w:tr>
      <w:tr>
        <w:tc>
          <w:tcPr>
            <w:tcW w:type="dxa" w:w="3072"/>
          </w:tcPr>
          <w:p>
            <w:pPr>
              <w:spacing w:before="20" w:after="20"/>
            </w:pPr>
            <w:r>
              <w:rPr>
                <w:rFonts w:ascii="Times New Roman" w:hAnsi="Times New Roman"/>
                <w:sz w:val="17"/>
              </w:rPr>
            </w:r>
            <w:r>
              <w:rPr>
                <w:rFonts w:ascii="Times New Roman" w:hAnsi="Times New Roman"/>
                <w:sz w:val="17"/>
              </w:rPr>
              <w:t>Decoding from peak-derived features</w:t>
            </w:r>
          </w:p>
        </w:tc>
        <w:tc>
          <w:tcPr>
            <w:tcW w:type="dxa" w:w="3072"/>
          </w:tcPr>
          <w:p>
            <w:pPr>
              <w:spacing w:before="20" w:after="20"/>
            </w:pPr>
            <w:r>
              <w:rPr>
                <w:rFonts w:ascii="Times New Roman" w:hAnsi="Times New Roman"/>
                <w:sz w:val="17"/>
              </w:rPr>
            </w:r>
            <w:r>
              <w:rPr>
                <w:rFonts w:ascii="Times New Roman" w:hAnsi="Times New Roman"/>
                <w:sz w:val="17"/>
              </w:rPr>
              <w:t>56.1 ± 5.5 %</w:t>
            </w:r>
          </w:p>
        </w:tc>
        <w:tc>
          <w:tcPr>
            <w:tcW w:type="dxa" w:w="3072"/>
          </w:tcPr>
          <w:p>
            <w:pPr>
              <w:spacing w:before="20" w:after="20"/>
            </w:pPr>
            <w:r>
              <w:rPr>
                <w:rFonts w:ascii="Times New Roman" w:hAnsi="Times New Roman"/>
                <w:sz w:val="17"/>
              </w:rPr>
            </w:r>
            <w:r>
              <w:rPr>
                <w:rFonts w:ascii="Times New Roman" w:hAnsi="Times New Roman"/>
                <w:b/>
                <w:sz w:val="17"/>
              </w:rPr>
              <w:t>.0084</w:t>
            </w:r>
            <w:r>
              <w:rPr>
                <w:rFonts w:ascii="Times New Roman" w:hAnsi="Times New Roman"/>
                <w:sz w:val="17"/>
              </w:rPr>
              <w:t xml:space="preserve"> vs chance</w:t>
            </w:r>
          </w:p>
        </w:tc>
      </w:tr>
    </w:tbl>
    <w:p/>
    <w:p>
      <w:pPr>
        <w:jc w:val="both"/>
      </w:pPr>
      <w:r>
        <w:rPr/>
        <w:t>Two properties are worth noting. All three symmetric electrode pairs move in the predicted direction with a monotonic posterior gradient, which random variation does not usually produce. And the decoder survives removal of any single participant (</w:t>
      </w:r>
      <w:r>
        <w:rPr>
          <w:i/>
        </w:rPr>
        <w:t>p</w:t>
      </w:r>
      <w:r>
        <w:rPr/>
        <w:t xml:space="preserve"> = .003–.021 across the ten jackknife samples), including removal of the participant whose Stand-vs-Walk effect was shown in Section III-E to be arousal and muscle tone (</w:t>
      </w:r>
      <w:r>
        <w:rPr>
          <w:i/>
        </w:rPr>
        <w:t>p</w:t>
      </w:r>
      <w:r>
        <w:rPr/>
        <w:t xml:space="preserve"> = .020 without them).</w:t>
      </w:r>
    </w:p>
    <w:p>
      <w:pPr>
        <w:jc w:val="both"/>
      </w:pPr>
      <w:r>
        <w:rPr>
          <w:b/>
        </w:rPr>
        <w:t>Why this is nonetheless not reported as a result.</w:t>
      </w:r>
      <w:r>
        <w:rPr/>
        <w:t xml:space="preserve"> Three reasons.</w:t>
      </w:r>
    </w:p>
    <w:p>
      <w:pPr>
        <w:pStyle w:val="ListNumber"/>
      </w:pPr>
      <w:r>
        <w:rPr>
          <w:b/>
        </w:rPr>
        <w:t>The search.</w:t>
      </w:r>
      <w:r>
        <w:rPr/>
        <w:t xml:space="preserve"> Approximately ten distinct hypotheses were tested against the Stand-vs-Walk contrast in this dataset — envelope-modulation cadence, late-window divergence, an 840-cell preprocessing grid, participant experience, a physiological-plausibility criterion, alternating laterality (twelve statistics), peak-laterality magnitude, peak-laterality direction, adaptive-window decoding, and peak-locked decoding — and each was tried only after the previous one failed. Under a Bonferroni correction for ten comparisons the criterion is </w:t>
      </w:r>
      <w:r>
        <w:rPr>
          <w:i/>
        </w:rPr>
        <w:t>p</w:t>
      </w:r>
      <w:r>
        <w:rPr/>
        <w:t xml:space="preserve"> &lt; .005; the strongest result above, </w:t>
      </w:r>
      <w:r>
        <w:rPr>
          <w:i/>
        </w:rPr>
        <w:t>p</w:t>
      </w:r>
      <w:r>
        <w:rPr/>
        <w:t xml:space="preserve"> = .0084, does not clear it.</w:t>
      </w:r>
    </w:p>
    <w:p>
      <w:pPr>
        <w:pStyle w:val="ListNumber"/>
      </w:pPr>
      <w:r>
        <w:rPr>
          <w:b/>
        </w:rPr>
        <w:t>No improvement over the existing pipeline.</w:t>
      </w:r>
      <w:r>
        <w:rPr/>
        <w:t xml:space="preserve"> 56.1 % versus 52.2 % for the standard decoder on the same trials, paired </w:t>
      </w:r>
      <w:r>
        <w:rPr>
          <w:i/>
        </w:rPr>
        <w:t>p</w:t>
      </w:r>
      <w:r>
        <w:rPr/>
        <w:t xml:space="preserve"> = .085, and part of that margin comes from one participant whose baseline decoder failed pathologically (32 %).</w:t>
      </w:r>
    </w:p>
    <w:p>
      <w:pPr>
        <w:pStyle w:val="ListNumber"/>
      </w:pPr>
      <w:r>
        <w:rPr>
          <w:b/>
        </w:rPr>
        <w:t>No participant is individually significant</w:t>
      </w:r>
      <w:r>
        <w:rPr/>
        <w:t xml:space="preserve"> after Holm correction (0/10; 4/10 uncorrected).</w:t>
      </w:r>
    </w:p>
    <w:p>
      <w:pPr>
        <w:jc w:val="both"/>
      </w:pPr>
      <w:r>
        <w:rPr>
          <w:b/>
        </w:rPr>
        <w:t>Sample size required.</w:t>
      </w:r>
      <w:r>
        <w:rPr/>
        <w:t xml:space="preserve"> From the observed effect size (Cohen's </w:t>
      </w:r>
      <w:r>
        <w:rPr>
          <w:i/>
        </w:rPr>
        <w:t>d</w:t>
      </w:r>
      <w:r>
        <w:rPr/>
        <w:t xml:space="preserve"> ≈ 0.62), a pre-registered replication would need approximately </w:t>
      </w:r>
      <w:r>
        <w:rPr>
          <w:b/>
        </w:rPr>
        <w:t>21 participants</w:t>
      </w:r>
      <w:r>
        <w:rPr/>
        <w:t xml:space="preserve"> for 80 % power, or ~33 for the weaker mu-band estimate. Because </w:t>
      </w:r>
      <w:r>
        <w:rPr>
          <w:i/>
        </w:rPr>
        <w:t>d</w:t>
      </w:r>
      <w:r>
        <w:rPr/>
        <w:t xml:space="preserve"> is estimated from the analysis that selected this hypothesis, it is biased upward by the winner's curse, so 21 is a </w:t>
      </w:r>
      <w:r>
        <w:rPr>
          <w:b/>
        </w:rPr>
        <w:t>lower bound</w:t>
      </w:r>
      <w:r>
        <w:rPr/>
        <w:t xml:space="preserve"> on the required sample rather than a target; a replication should be powered on the lower confidence limit of </w:t>
      </w:r>
      <w:r>
        <w:rPr>
          <w:i/>
        </w:rPr>
        <w:t>d</w:t>
      </w:r>
      <w:r>
        <w:rPr/>
        <w:t xml:space="preserve">, not its point estimate. The present </w:t>
      </w:r>
      <w:r>
        <w:rPr>
          <w:i/>
        </w:rPr>
        <w:t>n</w:t>
      </w:r>
      <w:r>
        <w:rPr/>
        <w:t xml:space="preserve"> = 10 is in either case below the threshold at which this question can be settled.</w:t>
      </w:r>
    </w:p>
    <w:p>
      <w:pPr>
        <w:pBdr>
          <w:bottom w:val="single" w:sz="6" w:color="BBBBBB"/>
        </w:pBdr>
      </w:pPr>
    </w:p>
    <w:p>
      <w:pPr>
        <w:pStyle w:val="Heading2"/>
        <w:spacing w:before="280" w:after="80"/>
      </w:pPr>
      <w:r>
        <w:rPr>
          <w:rFonts w:ascii="Times New Roman" w:hAnsi="Times New Roman"/>
          <w:color w:val="1F2328"/>
          <w:sz w:val="28"/>
        </w:rPr>
        <w:t>IV. Discussion</w:t>
      </w:r>
    </w:p>
    <w:p>
      <w:pPr>
        <w:pStyle w:val="Heading3"/>
        <w:spacing w:before="200" w:after="80"/>
      </w:pPr>
      <w:r>
        <w:rPr>
          <w:rFonts w:ascii="Times New Roman" w:hAnsi="Times New Roman"/>
          <w:color w:val="1F2328"/>
          <w:sz w:val="23"/>
        </w:rPr>
        <w:t>A. Why standing versus walking fails</w:t>
      </w:r>
    </w:p>
    <w:p>
      <w:pPr>
        <w:jc w:val="both"/>
      </w:pPr>
      <w:r>
        <w:rPr/>
        <w:t xml:space="preserve">Every classification task in Ma </w:t>
      </w:r>
      <w:r>
        <w:rPr>
          <w:i/>
        </w:rPr>
        <w:t>et al.</w:t>
      </w:r>
      <w:r>
        <w:rPr/>
        <w:t xml:space="preserve"> [1] is a </w:t>
      </w:r>
      <w:r>
        <w:rPr>
          <w:b/>
        </w:rPr>
        <w:t>left-versus-right</w:t>
      </w:r>
      <w:r>
        <w:rPr/>
        <w:t xml:space="preserve"> contrast: left arm vs right arm, left leg vs right leg, and left-leg + right-arm vs right-leg + left-arm. The decoded signal is contralateral ERD asymmetry between C3 and C4. The authors report explicitly that lower limbs alone barely separate — "no obvious difference between tasks of the single left leg and right leg" — and that fewer channels exceeded their discriminability threshold in the single-lower-limb paradigm than in either the single-upper-limb or the compound-limbs paradigm, for most subjects. The compound-limbs manipulation exists precisely to </w:t>
      </w:r>
      <w:r>
        <w:rPr>
          <w:i/>
        </w:rPr>
        <w:t>import</w:t>
      </w:r>
      <w:r>
        <w:rPr/>
        <w:t xml:space="preserve"> the arm's lateralisation into a lower-limb task, which is what yields their reported +11.02 points.</w:t>
      </w:r>
    </w:p>
    <w:p>
      <w:pPr>
        <w:jc w:val="both"/>
      </w:pPr>
      <w:r>
        <w:rPr>
          <w:b/>
        </w:rPr>
        <w:t>The present design does contain the mirrored pair — but inside a trial rather than between classes.</w:t>
      </w:r>
      <w:r>
        <w:rPr/>
        <w:t xml:space="preserve"> This distinction is the whole of Section IV-A and it is easy to state imprecisely. Ma </w:t>
      </w:r>
      <w:r>
        <w:rPr>
          <w:i/>
        </w:rPr>
        <w:t>et al.</w:t>
      </w:r>
      <w:r>
        <w:rPr/>
        <w:t xml:space="preserve"> place the two mirrored configurations in </w:t>
      </w:r>
      <w:r>
        <w:rPr>
          <w:i/>
        </w:rPr>
        <w:t>separate classes</w:t>
      </w:r>
      <w:r>
        <w:rPr/>
        <w:t xml:space="preserve">, so the C3/C4 contrast is one sign in class A and the other in class B and survives trial averaging. The walking instruction here specifies </w:t>
      </w:r>
      <w:r>
        <w:rPr>
          <w:b/>
        </w:rPr>
        <w:t>two steps</w:t>
      </w:r>
      <w:r>
        <w:rPr/>
        <w:t xml:space="preserve"> — right foot with left arm, then left foot with right arm — so both configurations occur </w:t>
      </w:r>
      <w:r>
        <w:rPr>
          <w:b/>
        </w:rPr>
        <w:t>within a single Walk trial</w:t>
      </w:r>
      <w:r>
        <w:rPr/>
        <w:t>, in sequence. Stand, being bilateral and armless, has no such alternation.</w:t>
      </w:r>
    </w:p>
    <w:p>
      <w:pPr>
        <w:jc w:val="both"/>
      </w:pPr>
      <w:r>
        <w:rPr/>
        <w:t xml:space="preserve">The consequence is arithmetic. A laterality index averaged over the analysis window cancels the two phases against each other by construction. The measured Walk-minus-Stand difference of </w:t>
      </w:r>
      <w:r>
        <w:rPr>
          <w:b/>
        </w:rPr>
        <w:t>+0.026 dB in mu (</w:t>
      </w:r>
      <w:r>
        <w:rPr>
          <w:b/>
          <w:i/>
        </w:rPr>
        <w:t>p</w:t>
      </w:r>
      <w:r>
        <w:rPr>
          <w:b/>
        </w:rPr>
        <w:t xml:space="preserve"> = .729)</w:t>
      </w:r>
      <w:r>
        <w:rPr/>
        <w:t xml:space="preserve"> and +0.133 dB in beta (</w:t>
      </w:r>
      <w:r>
        <w:rPr>
          <w:i/>
        </w:rPr>
        <w:t>p</w:t>
      </w:r>
      <w:r>
        <w:rPr/>
        <w:t xml:space="preserve"> = .142) is therefore consistent with </w:t>
      </w:r>
      <w:r>
        <w:rPr>
          <w:i/>
        </w:rPr>
        <w:t>"the asymmetry alternates and cancels"</w:t>
      </w:r>
      <w:r>
        <w:rPr/>
        <w:t xml:space="preserve"> as much as with </w:t>
      </w:r>
      <w:r>
        <w:rPr>
          <w:i/>
        </w:rPr>
        <w:t>"there is no asymmetry"</w:t>
      </w:r>
      <w:r>
        <w:rPr/>
        <w:t>, and cannot distinguish them.</w:t>
      </w:r>
    </w:p>
    <w:p>
      <w:pPr>
        <w:jc w:val="both"/>
      </w:pPr>
      <w:r>
        <w:rPr>
          <w:b/>
        </w:rPr>
        <w:t>We therefore tested the alternation directly</w:t>
      </w:r>
      <w:r>
        <w:rPr/>
        <w:t>, with six statistics that relax the timing assumption in stages — a fixed mid-trial switch, the within-trial standard deviation of the laterality index, decoding from its trajectory, the largest step-like transition at any instant, the number of crossings of the trial mean, and the power of the laterality fluctuation in 0.2–1.0 Hz. The last four assume nothing about when or how often the switch occurs [</w:t>
      </w:r>
      <w:r>
        <w:rPr>
          <w:rFonts w:ascii="Consolas" w:hAnsi="Consolas"/>
          <w:sz w:val="18"/>
        </w:rPr>
        <w:t>13_time_laterality.py</w:t>
      </w:r>
      <w:r>
        <w:rPr/>
        <w:t>]. Of the twelve tests (six statistics × two bands), one survives Holm correction: the beta-band crossing count, at −0.242 (</w:t>
      </w:r>
      <w:r>
        <w:rPr>
          <w:i/>
        </w:rPr>
        <w:t>p</w:t>
      </w:r>
      <w:r>
        <w:rPr/>
        <w:t xml:space="preserve">_Holm = .039) — </w:t>
      </w:r>
      <w:r>
        <w:rPr>
          <w:b/>
        </w:rPr>
        <w:t>in the direction opposite to the registered prediction</w:t>
      </w:r>
      <w:r>
        <w:rPr/>
        <w:t>. The closest result in the predicted direction is the largest step-like transition in mu, +0.131 (</w:t>
      </w:r>
      <w:r>
        <w:rPr>
          <w:i/>
        </w:rPr>
        <w:t>p</w:t>
      </w:r>
      <w:r>
        <w:rPr/>
        <w:t xml:space="preserve"> = .056, not significant after correction). The peak-locked analysis of Section III-J is the strongest version of this family and reaches +1.02 dB with 56.1 % decoding (</w:t>
      </w:r>
      <w:r>
        <w:rPr>
          <w:i/>
        </w:rPr>
        <w:t>p</w:t>
      </w:r>
      <w:r>
        <w:rPr/>
        <w:t xml:space="preserve"> = .0084), which does not clear the multiple-comparison threshold either.</w:t>
      </w:r>
    </w:p>
    <w:p>
      <w:pPr>
        <w:jc w:val="both"/>
      </w:pPr>
      <w:r>
        <w:rPr>
          <w:b/>
        </w:rPr>
        <w:t>What this establishes is narrower than a null.</w:t>
      </w:r>
      <w:r>
        <w:rPr/>
        <w:t xml:space="preserve"> The benefit reported by [1] depends on a </w:t>
      </w:r>
      <w:r>
        <w:rPr>
          <w:i/>
        </w:rPr>
        <w:t>between-class</w:t>
      </w:r>
      <w:r>
        <w:rPr/>
        <w:t xml:space="preserve"> mirrored contrast, and that this design does not contain; that part is settled. Whether the </w:t>
      </w:r>
      <w:r>
        <w:rPr>
          <w:i/>
        </w:rPr>
        <w:t>within-trial</w:t>
      </w:r>
      <w:r>
        <w:rPr/>
        <w:t xml:space="preserve"> alternation carries decodable information is not settled: the largest laterality effect measured anywhere in this dataset is the +1.02 dB of Section III-J, roughly forty times the trial-averaged value, and it fails on multiple-comparison and sample-size grounds rather than on effect size. A study that pre-registered a single alternation statistic and recruited the ~21 participants of Section III-J could settle it; the present one cannot.</w:t>
      </w:r>
    </w:p>
    <w:p>
      <w:pPr>
        <w:pStyle w:val="Heading3"/>
        <w:spacing w:before="200" w:after="80"/>
      </w:pPr>
      <w:r>
        <w:rPr>
          <w:rFonts w:ascii="Times New Roman" w:hAnsi="Times New Roman"/>
          <w:color w:val="1F2328"/>
          <w:sz w:val="23"/>
        </w:rPr>
        <w:t>B. One mechanism accounts for every result</w:t>
      </w:r>
    </w:p>
    <w:p>
      <w:pPr>
        <w:jc w:val="both"/>
      </w:pPr>
      <w:r>
        <w:rPr/>
        <w:t>Taken together the results do not require four separate explanations. A single statement covers them:</w:t>
      </w:r>
    </w:p>
    <w:p>
      <w:pPr>
        <w:spacing w:before="120" w:after="120"/>
        <w:ind w:left="504"/>
      </w:pPr>
      <w:r>
        <w:rPr>
          <w:b/>
          <w:i/>
        </w:rPr>
        <w:t>This montage is dominated by peripheral and global signals wherever they exist, and its cortical component is weak.</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72"/>
            <w:shd w:val="clear" w:fill="EEF2F7"/>
          </w:tcPr>
          <w:p>
            <w:pPr>
              <w:spacing w:before="20" w:after="20"/>
            </w:pPr>
            <w:r>
              <w:rPr>
                <w:rFonts w:ascii="Times New Roman" w:hAnsi="Times New Roman"/>
                <w:b/>
                <w:sz w:val="17"/>
              </w:rPr>
            </w:r>
            <w:r>
              <w:rPr>
                <w:rFonts w:ascii="Times New Roman" w:hAnsi="Times New Roman"/>
                <w:b/>
                <w:sz w:val="17"/>
              </w:rPr>
              <w:t>Result</w:t>
            </w:r>
          </w:p>
        </w:tc>
        <w:tc>
          <w:tcPr>
            <w:tcW w:type="dxa" w:w="3072"/>
            <w:shd w:val="clear" w:fill="EEF2F7"/>
          </w:tcPr>
          <w:p>
            <w:pPr>
              <w:spacing w:before="20" w:after="20"/>
            </w:pPr>
            <w:r>
              <w:rPr>
                <w:rFonts w:ascii="Times New Roman" w:hAnsi="Times New Roman"/>
                <w:b/>
                <w:sz w:val="17"/>
              </w:rPr>
            </w:r>
            <w:r>
              <w:rPr>
                <w:rFonts w:ascii="Times New Roman" w:hAnsi="Times New Roman"/>
                <w:b/>
                <w:sz w:val="17"/>
              </w:rPr>
              <w:t>Peripheral or global signal available?</w:t>
            </w:r>
          </w:p>
        </w:tc>
        <w:tc>
          <w:tcPr>
            <w:tcW w:type="dxa" w:w="3072"/>
            <w:shd w:val="clear" w:fill="EEF2F7"/>
          </w:tcPr>
          <w:p>
            <w:pPr>
              <w:spacing w:before="20" w:after="20"/>
            </w:pPr>
            <w:r>
              <w:rPr>
                <w:rFonts w:ascii="Times New Roman" w:hAnsi="Times New Roman"/>
                <w:b/>
                <w:sz w:val="17"/>
              </w:rPr>
            </w:r>
            <w:r>
              <w:rPr>
                <w:rFonts w:ascii="Times New Roman" w:hAnsi="Times New Roman"/>
                <w:b/>
                <w:sz w:val="17"/>
              </w:rPr>
              <w:t>Outcome</w:t>
            </w:r>
          </w:p>
        </w:tc>
      </w:tr>
      <w:tr>
        <w:tc>
          <w:tcPr>
            <w:tcW w:type="dxa" w:w="3072"/>
          </w:tcPr>
          <w:p>
            <w:pPr>
              <w:spacing w:before="20" w:after="20"/>
            </w:pPr>
            <w:r>
              <w:rPr>
                <w:rFonts w:ascii="Times New Roman" w:hAnsi="Times New Roman"/>
                <w:sz w:val="17"/>
              </w:rPr>
            </w:r>
            <w:r>
              <w:rPr>
                <w:rFonts w:ascii="Times New Roman" w:hAnsi="Times New Roman"/>
                <w:sz w:val="17"/>
              </w:rPr>
              <w:t>Executed TaskA vs TaskB (§III-I)</w:t>
            </w:r>
          </w:p>
        </w:tc>
        <w:tc>
          <w:tcPr>
            <w:tcW w:type="dxa" w:w="3072"/>
          </w:tcPr>
          <w:p>
            <w:pPr>
              <w:spacing w:before="20" w:after="20"/>
            </w:pPr>
            <w:r>
              <w:rPr>
                <w:rFonts w:ascii="Times New Roman" w:hAnsi="Times New Roman"/>
                <w:sz w:val="17"/>
              </w:rPr>
            </w:r>
            <w:r>
              <w:rPr>
                <w:rFonts w:ascii="Times New Roman" w:hAnsi="Times New Roman"/>
                <w:sz w:val="17"/>
              </w:rPr>
              <w:t>large — limb and trunk EMG, motion</w:t>
            </w:r>
          </w:p>
        </w:tc>
        <w:tc>
          <w:tcPr>
            <w:tcW w:type="dxa" w:w="3072"/>
          </w:tcPr>
          <w:p>
            <w:pPr>
              <w:spacing w:before="20" w:after="20"/>
            </w:pPr>
            <w:r>
              <w:rPr>
                <w:rFonts w:ascii="Times New Roman" w:hAnsi="Times New Roman"/>
                <w:sz w:val="17"/>
              </w:rPr>
            </w:r>
            <w:r>
              <w:rPr>
                <w:rFonts w:ascii="Times New Roman" w:hAnsi="Times New Roman"/>
                <w:b/>
                <w:sz w:val="17"/>
              </w:rPr>
              <w:t>91.1 %</w:t>
            </w:r>
          </w:p>
        </w:tc>
      </w:tr>
      <w:tr>
        <w:tc>
          <w:tcPr>
            <w:tcW w:type="dxa" w:w="3072"/>
          </w:tcPr>
          <w:p>
            <w:pPr>
              <w:spacing w:before="20" w:after="20"/>
            </w:pPr>
            <w:r>
              <w:rPr>
                <w:rFonts w:ascii="Times New Roman" w:hAnsi="Times New Roman"/>
                <w:sz w:val="17"/>
              </w:rPr>
            </w:r>
            <w:r>
              <w:rPr>
                <w:rFonts w:ascii="Times New Roman" w:hAnsi="Times New Roman"/>
                <w:sz w:val="17"/>
              </w:rPr>
              <w:t>Rest vs imagery (§III-B, §III-F)</w:t>
            </w:r>
          </w:p>
        </w:tc>
        <w:tc>
          <w:tcPr>
            <w:tcW w:type="dxa" w:w="3072"/>
          </w:tcPr>
          <w:p>
            <w:pPr>
              <w:spacing w:before="20" w:after="20"/>
            </w:pPr>
            <w:r>
              <w:rPr>
                <w:rFonts w:ascii="Times New Roman" w:hAnsi="Times New Roman"/>
                <w:sz w:val="17"/>
              </w:rPr>
            </w:r>
            <w:r>
              <w:rPr>
                <w:rFonts w:ascii="Times New Roman" w:hAnsi="Times New Roman"/>
                <w:sz w:val="17"/>
              </w:rPr>
              <w:t>moderate — a global visual-attention difference</w:t>
            </w:r>
          </w:p>
        </w:tc>
        <w:tc>
          <w:tcPr>
            <w:tcW w:type="dxa" w:w="3072"/>
          </w:tcPr>
          <w:p>
            <w:pPr>
              <w:spacing w:before="20" w:after="20"/>
            </w:pPr>
            <w:r>
              <w:rPr>
                <w:rFonts w:ascii="Times New Roman" w:hAnsi="Times New Roman"/>
                <w:sz w:val="17"/>
              </w:rPr>
            </w:r>
            <w:r>
              <w:rPr>
                <w:rFonts w:ascii="Times New Roman" w:hAnsi="Times New Roman"/>
                <w:b/>
                <w:sz w:val="17"/>
              </w:rPr>
              <w:t>64–66 %</w:t>
            </w:r>
          </w:p>
        </w:tc>
      </w:tr>
      <w:tr>
        <w:tc>
          <w:tcPr>
            <w:tcW w:type="dxa" w:w="3072"/>
          </w:tcPr>
          <w:p>
            <w:pPr>
              <w:spacing w:before="20" w:after="20"/>
            </w:pPr>
            <w:r>
              <w:rPr>
                <w:rFonts w:ascii="Times New Roman" w:hAnsi="Times New Roman"/>
                <w:sz w:val="17"/>
              </w:rPr>
            </w:r>
            <w:r>
              <w:rPr>
                <w:rFonts w:ascii="Times New Roman" w:hAnsi="Times New Roman"/>
                <w:sz w:val="17"/>
              </w:rPr>
              <w:t>Participant P06, Stand vs Walk (§III-E)</w:t>
            </w:r>
          </w:p>
        </w:tc>
        <w:tc>
          <w:tcPr>
            <w:tcW w:type="dxa" w:w="3072"/>
          </w:tcPr>
          <w:p>
            <w:pPr>
              <w:spacing w:before="20" w:after="20"/>
            </w:pPr>
            <w:r>
              <w:rPr>
                <w:rFonts w:ascii="Times New Roman" w:hAnsi="Times New Roman"/>
                <w:sz w:val="17"/>
              </w:rPr>
            </w:r>
            <w:r>
              <w:rPr>
                <w:rFonts w:ascii="Times New Roman" w:hAnsi="Times New Roman"/>
                <w:sz w:val="17"/>
              </w:rPr>
              <w:t>moderate — broadband arousal and muscle tone</w:t>
            </w:r>
          </w:p>
        </w:tc>
        <w:tc>
          <w:tcPr>
            <w:tcW w:type="dxa" w:w="3072"/>
          </w:tcPr>
          <w:p>
            <w:pPr>
              <w:spacing w:before="20" w:after="20"/>
            </w:pPr>
            <w:r>
              <w:rPr>
                <w:rFonts w:ascii="Times New Roman" w:hAnsi="Times New Roman"/>
                <w:sz w:val="17"/>
              </w:rPr>
            </w:r>
            <w:r>
              <w:rPr>
                <w:rFonts w:ascii="Times New Roman" w:hAnsi="Times New Roman"/>
                <w:b/>
                <w:sz w:val="17"/>
              </w:rPr>
              <w:t>67.0 %</w:t>
            </w:r>
          </w:p>
        </w:tc>
      </w:tr>
      <w:tr>
        <w:tc>
          <w:tcPr>
            <w:tcW w:type="dxa" w:w="3072"/>
          </w:tcPr>
          <w:p>
            <w:pPr>
              <w:spacing w:before="20" w:after="20"/>
            </w:pPr>
            <w:r>
              <w:rPr>
                <w:rFonts w:ascii="Times New Roman" w:hAnsi="Times New Roman"/>
                <w:sz w:val="17"/>
              </w:rPr>
            </w:r>
            <w:r>
              <w:rPr>
                <w:rFonts w:ascii="Times New Roman" w:hAnsi="Times New Roman"/>
                <w:sz w:val="17"/>
              </w:rPr>
              <w:t>Stand vs Walk, group (§III-B)</w:t>
            </w:r>
          </w:p>
        </w:tc>
        <w:tc>
          <w:tcPr>
            <w:tcW w:type="dxa" w:w="3072"/>
          </w:tcPr>
          <w:p>
            <w:pPr>
              <w:spacing w:before="20" w:after="20"/>
            </w:pPr>
            <w:r>
              <w:rPr>
                <w:rFonts w:ascii="Times New Roman" w:hAnsi="Times New Roman"/>
                <w:sz w:val="17"/>
              </w:rPr>
            </w:r>
            <w:r>
              <w:rPr>
                <w:rFonts w:ascii="Times New Roman" w:hAnsi="Times New Roman"/>
                <w:sz w:val="17"/>
              </w:rPr>
              <w:t>none — both classes are motionless and visually identical</w:t>
            </w:r>
          </w:p>
        </w:tc>
        <w:tc>
          <w:tcPr>
            <w:tcW w:type="dxa" w:w="3072"/>
          </w:tcPr>
          <w:p>
            <w:pPr>
              <w:spacing w:before="20" w:after="20"/>
            </w:pPr>
            <w:r>
              <w:rPr>
                <w:rFonts w:ascii="Times New Roman" w:hAnsi="Times New Roman"/>
                <w:sz w:val="17"/>
              </w:rPr>
            </w:r>
            <w:r>
              <w:rPr>
                <w:rFonts w:ascii="Times New Roman" w:hAnsi="Times New Roman"/>
                <w:b/>
                <w:sz w:val="17"/>
              </w:rPr>
              <w:t>53.1 %</w:t>
            </w:r>
          </w:p>
        </w:tc>
      </w:tr>
    </w:tbl>
    <w:p/>
    <w:p>
      <w:pPr>
        <w:jc w:val="both"/>
      </w:pPr>
      <w:r>
        <w:rPr/>
        <w:t>The ordering of the four accuracies is the ordering of the peripheral signal available in each contrast, not the ordering of the cortical difference the task was designed to elicit. Section III-I shows the cortical component is measurable but small — a mu-specific trough 1.56 dB below the broadband shift during real movement — which is consistent with the effective dimensionality of about 1.5 reported in Section III-H.4.</w:t>
      </w:r>
    </w:p>
    <w:p>
      <w:pPr>
        <w:jc w:val="both"/>
      </w:pPr>
      <w:r>
        <w:rPr/>
        <w:t xml:space="preserve">This is the paper's central practical claim, and it is the reason a permutation </w:t>
      </w:r>
      <w:r>
        <w:rPr>
          <w:i/>
        </w:rPr>
        <w:t>p</w:t>
      </w:r>
      <w:r>
        <w:rPr/>
        <w:t>-value is not sufficient evidence for a low-channel BCI result. Three of the four rows above are statistically significant; only the first two would normally be reported; and none of them is decoding what the paradigm intended.</w:t>
      </w:r>
    </w:p>
    <w:p>
      <w:pPr>
        <w:pStyle w:val="Heading3"/>
        <w:spacing w:before="200" w:after="80"/>
      </w:pPr>
      <w:r>
        <w:rPr>
          <w:rFonts w:ascii="Times New Roman" w:hAnsi="Times New Roman"/>
          <w:color w:val="1F2328"/>
          <w:sz w:val="23"/>
        </w:rPr>
        <w:t>C. Instrumentation</w:t>
      </w:r>
    </w:p>
    <w:p>
      <w:pPr>
        <w:jc w:val="both"/>
      </w:pPr>
      <w:r>
        <w:rPr>
          <w:b/>
        </w:rPr>
        <w:t>TABLE IV — Recording comparison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72"/>
            <w:shd w:val="clear" w:fill="EEF2F7"/>
          </w:tcPr>
          <w:p>
            <w:pPr>
              <w:spacing w:before="20" w:after="20"/>
            </w:pPr>
            <w:r>
              <w:rPr>
                <w:rFonts w:ascii="Times New Roman" w:hAnsi="Times New Roman"/>
                <w:b/>
                <w:sz w:val="17"/>
              </w:rPr>
            </w:r>
          </w:p>
        </w:tc>
        <w:tc>
          <w:tcPr>
            <w:tcW w:type="dxa" w:w="3072"/>
            <w:shd w:val="clear" w:fill="EEF2F7"/>
          </w:tcPr>
          <w:p>
            <w:pPr>
              <w:spacing w:before="20" w:after="20"/>
            </w:pPr>
            <w:r>
              <w:rPr>
                <w:rFonts w:ascii="Times New Roman" w:hAnsi="Times New Roman"/>
                <w:b/>
                <w:sz w:val="17"/>
              </w:rPr>
            </w:r>
            <w:r>
              <w:rPr>
                <w:rFonts w:ascii="Times New Roman" w:hAnsi="Times New Roman"/>
                <w:b/>
                <w:sz w:val="17"/>
              </w:rPr>
              <w:t xml:space="preserve">Ma </w:t>
            </w:r>
            <w:r>
              <w:rPr>
                <w:rFonts w:ascii="Times New Roman" w:hAnsi="Times New Roman"/>
                <w:b/>
                <w:i/>
                <w:sz w:val="17"/>
              </w:rPr>
              <w:t>et al.</w:t>
            </w:r>
            <w:r>
              <w:rPr>
                <w:rFonts w:ascii="Times New Roman" w:hAnsi="Times New Roman"/>
                <w:b/>
                <w:sz w:val="17"/>
              </w:rPr>
              <w:t xml:space="preserve"> [1]</w:t>
            </w:r>
          </w:p>
        </w:tc>
        <w:tc>
          <w:tcPr>
            <w:tcW w:type="dxa" w:w="3072"/>
            <w:shd w:val="clear" w:fill="EEF2F7"/>
          </w:tcPr>
          <w:p>
            <w:pPr>
              <w:spacing w:before="20" w:after="20"/>
            </w:pPr>
            <w:r>
              <w:rPr>
                <w:rFonts w:ascii="Times New Roman" w:hAnsi="Times New Roman"/>
                <w:b/>
                <w:sz w:val="17"/>
              </w:rPr>
            </w:r>
            <w:r>
              <w:rPr>
                <w:rFonts w:ascii="Times New Roman" w:hAnsi="Times New Roman"/>
                <w:b/>
                <w:sz w:val="17"/>
              </w:rPr>
              <w:t>Present study</w:t>
            </w:r>
          </w:p>
        </w:tc>
      </w:tr>
      <w:tr>
        <w:tc>
          <w:tcPr>
            <w:tcW w:type="dxa" w:w="3072"/>
          </w:tcPr>
          <w:p>
            <w:pPr>
              <w:spacing w:before="20" w:after="20"/>
            </w:pPr>
            <w:r>
              <w:rPr>
                <w:rFonts w:ascii="Times New Roman" w:hAnsi="Times New Roman"/>
                <w:sz w:val="17"/>
              </w:rPr>
            </w:r>
            <w:r>
              <w:rPr>
                <w:rFonts w:ascii="Times New Roman" w:hAnsi="Times New Roman"/>
                <w:sz w:val="17"/>
              </w:rPr>
              <w:t>Electrodes</w:t>
            </w:r>
          </w:p>
        </w:tc>
        <w:tc>
          <w:tcPr>
            <w:tcW w:type="dxa" w:w="3072"/>
          </w:tcPr>
          <w:p>
            <w:pPr>
              <w:spacing w:before="20" w:after="20"/>
            </w:pPr>
            <w:r>
              <w:rPr>
                <w:rFonts w:ascii="Times New Roman" w:hAnsi="Times New Roman"/>
                <w:sz w:val="17"/>
              </w:rPr>
            </w:r>
            <w:r>
              <w:rPr>
                <w:rFonts w:ascii="Times New Roman" w:hAnsi="Times New Roman"/>
                <w:sz w:val="17"/>
              </w:rPr>
              <w:t>56</w:t>
            </w:r>
          </w:p>
        </w:tc>
        <w:tc>
          <w:tcPr>
            <w:tcW w:type="dxa" w:w="3072"/>
          </w:tcPr>
          <w:p>
            <w:pPr>
              <w:spacing w:before="20" w:after="20"/>
            </w:pPr>
            <w:r>
              <w:rPr>
                <w:rFonts w:ascii="Times New Roman" w:hAnsi="Times New Roman"/>
                <w:sz w:val="17"/>
              </w:rPr>
            </w:r>
            <w:r>
              <w:rPr>
                <w:rFonts w:ascii="Times New Roman" w:hAnsi="Times New Roman"/>
                <w:sz w:val="17"/>
              </w:rPr>
              <w:t>8</w:t>
            </w:r>
          </w:p>
        </w:tc>
      </w:tr>
      <w:tr>
        <w:tc>
          <w:tcPr>
            <w:tcW w:type="dxa" w:w="3072"/>
          </w:tcPr>
          <w:p>
            <w:pPr>
              <w:spacing w:before="20" w:after="20"/>
            </w:pPr>
            <w:r>
              <w:rPr>
                <w:rFonts w:ascii="Times New Roman" w:hAnsi="Times New Roman"/>
                <w:sz w:val="17"/>
              </w:rPr>
            </w:r>
            <w:r>
              <w:rPr>
                <w:rFonts w:ascii="Times New Roman" w:hAnsi="Times New Roman"/>
                <w:sz w:val="17"/>
              </w:rPr>
              <w:t>EOG / sEMG</w:t>
            </w:r>
          </w:p>
        </w:tc>
        <w:tc>
          <w:tcPr>
            <w:tcW w:type="dxa" w:w="3072"/>
          </w:tcPr>
          <w:p>
            <w:pPr>
              <w:spacing w:before="20" w:after="20"/>
            </w:pPr>
            <w:r>
              <w:rPr>
                <w:rFonts w:ascii="Times New Roman" w:hAnsi="Times New Roman"/>
                <w:sz w:val="17"/>
              </w:rPr>
            </w:r>
            <w:r>
              <w:rPr>
                <w:rFonts w:ascii="Times New Roman" w:hAnsi="Times New Roman"/>
                <w:sz w:val="17"/>
              </w:rPr>
              <w:t>4 / 4</w:t>
            </w:r>
          </w:p>
        </w:tc>
        <w:tc>
          <w:tcPr>
            <w:tcW w:type="dxa" w:w="3072"/>
          </w:tcPr>
          <w:p>
            <w:pPr>
              <w:spacing w:before="20" w:after="20"/>
            </w:pPr>
            <w:r>
              <w:rPr>
                <w:rFonts w:ascii="Times New Roman" w:hAnsi="Times New Roman"/>
                <w:sz w:val="17"/>
              </w:rPr>
            </w:r>
            <w:r>
              <w:rPr>
                <w:rFonts w:ascii="Times New Roman" w:hAnsi="Times New Roman"/>
                <w:sz w:val="17"/>
              </w:rPr>
              <w:t>none</w:t>
            </w:r>
          </w:p>
        </w:tc>
      </w:tr>
      <w:tr>
        <w:tc>
          <w:tcPr>
            <w:tcW w:type="dxa" w:w="3072"/>
          </w:tcPr>
          <w:p>
            <w:pPr>
              <w:spacing w:before="20" w:after="20"/>
            </w:pPr>
            <w:r>
              <w:rPr>
                <w:rFonts w:ascii="Times New Roman" w:hAnsi="Times New Roman"/>
                <w:sz w:val="17"/>
              </w:rPr>
            </w:r>
            <w:r>
              <w:rPr>
                <w:rFonts w:ascii="Times New Roman" w:hAnsi="Times New Roman"/>
                <w:sz w:val="17"/>
              </w:rPr>
              <w:t>Artifact handling</w:t>
            </w:r>
          </w:p>
        </w:tc>
        <w:tc>
          <w:tcPr>
            <w:tcW w:type="dxa" w:w="3072"/>
          </w:tcPr>
          <w:p>
            <w:pPr>
              <w:spacing w:before="20" w:after="20"/>
            </w:pPr>
            <w:r>
              <w:rPr>
                <w:rFonts w:ascii="Times New Roman" w:hAnsi="Times New Roman"/>
                <w:sz w:val="17"/>
              </w:rPr>
            </w:r>
            <w:r>
              <w:rPr>
                <w:rFonts w:ascii="Times New Roman" w:hAnsi="Times New Roman"/>
                <w:sz w:val="17"/>
              </w:rPr>
              <w:t>ASR → CAR → ICA guided by EOG/sEMG → ICLabel</w:t>
            </w:r>
          </w:p>
        </w:tc>
        <w:tc>
          <w:tcPr>
            <w:tcW w:type="dxa" w:w="3072"/>
          </w:tcPr>
          <w:p>
            <w:pPr>
              <w:spacing w:before="20" w:after="20"/>
            </w:pPr>
            <w:r>
              <w:rPr>
                <w:rFonts w:ascii="Times New Roman" w:hAnsi="Times New Roman"/>
                <w:sz w:val="17"/>
              </w:rPr>
            </w:r>
            <w:r>
              <w:rPr>
                <w:rFonts w:ascii="Times New Roman" w:hAnsi="Times New Roman"/>
                <w:sz w:val="17"/>
              </w:rPr>
              <w:t>amplitude and variance rejection</w:t>
            </w:r>
          </w:p>
        </w:tc>
      </w:tr>
      <w:tr>
        <w:tc>
          <w:tcPr>
            <w:tcW w:type="dxa" w:w="3072"/>
          </w:tcPr>
          <w:p>
            <w:pPr>
              <w:spacing w:before="20" w:after="20"/>
            </w:pPr>
            <w:r>
              <w:rPr>
                <w:rFonts w:ascii="Times New Roman" w:hAnsi="Times New Roman"/>
                <w:sz w:val="17"/>
              </w:rPr>
            </w:r>
            <w:r>
              <w:rPr>
                <w:rFonts w:ascii="Times New Roman" w:hAnsi="Times New Roman"/>
                <w:sz w:val="17"/>
              </w:rPr>
              <w:t>Environment</w:t>
            </w:r>
          </w:p>
        </w:tc>
        <w:tc>
          <w:tcPr>
            <w:tcW w:type="dxa" w:w="3072"/>
          </w:tcPr>
          <w:p>
            <w:pPr>
              <w:spacing w:before="20" w:after="20"/>
            </w:pPr>
            <w:r>
              <w:rPr>
                <w:rFonts w:ascii="Times New Roman" w:hAnsi="Times New Roman"/>
                <w:sz w:val="17"/>
              </w:rPr>
            </w:r>
            <w:r>
              <w:rPr>
                <w:rFonts w:ascii="Times New Roman" w:hAnsi="Times New Roman"/>
                <w:sz w:val="17"/>
              </w:rPr>
              <w:t>shielded room</w:t>
            </w:r>
          </w:p>
        </w:tc>
        <w:tc>
          <w:tcPr>
            <w:tcW w:type="dxa" w:w="3072"/>
          </w:tcPr>
          <w:p>
            <w:pPr>
              <w:spacing w:before="20" w:after="20"/>
            </w:pPr>
            <w:r>
              <w:rPr>
                <w:rFonts w:ascii="Times New Roman" w:hAnsi="Times New Roman"/>
                <w:sz w:val="17"/>
              </w:rPr>
            </w:r>
            <w:r>
              <w:rPr>
                <w:rFonts w:ascii="Times New Roman" w:hAnsi="Times New Roman"/>
                <w:sz w:val="17"/>
              </w:rPr>
              <w:t>ordinary laboratory</w:t>
            </w:r>
          </w:p>
        </w:tc>
      </w:tr>
      <w:tr>
        <w:tc>
          <w:tcPr>
            <w:tcW w:type="dxa" w:w="3072"/>
          </w:tcPr>
          <w:p>
            <w:pPr>
              <w:spacing w:before="20" w:after="20"/>
            </w:pPr>
            <w:r>
              <w:rPr>
                <w:rFonts w:ascii="Times New Roman" w:hAnsi="Times New Roman"/>
                <w:sz w:val="17"/>
              </w:rPr>
            </w:r>
            <w:r>
              <w:rPr>
                <w:rFonts w:ascii="Times New Roman" w:hAnsi="Times New Roman"/>
                <w:sz w:val="17"/>
              </w:rPr>
              <w:t>Sampling</w:t>
            </w:r>
          </w:p>
        </w:tc>
        <w:tc>
          <w:tcPr>
            <w:tcW w:type="dxa" w:w="3072"/>
          </w:tcPr>
          <w:p>
            <w:pPr>
              <w:spacing w:before="20" w:after="20"/>
            </w:pPr>
            <w:r>
              <w:rPr>
                <w:rFonts w:ascii="Times New Roman" w:hAnsi="Times New Roman"/>
                <w:sz w:val="17"/>
              </w:rPr>
            </w:r>
            <w:r>
              <w:rPr>
                <w:rFonts w:ascii="Times New Roman" w:hAnsi="Times New Roman"/>
                <w:sz w:val="17"/>
              </w:rPr>
              <w:t>1200 Hz</w:t>
            </w:r>
          </w:p>
        </w:tc>
        <w:tc>
          <w:tcPr>
            <w:tcW w:type="dxa" w:w="3072"/>
          </w:tcPr>
          <w:p>
            <w:pPr>
              <w:spacing w:before="20" w:after="20"/>
            </w:pPr>
            <w:r>
              <w:rPr>
                <w:rFonts w:ascii="Times New Roman" w:hAnsi="Times New Roman"/>
                <w:sz w:val="17"/>
              </w:rPr>
            </w:r>
            <w:r>
              <w:rPr>
                <w:rFonts w:ascii="Times New Roman" w:hAnsi="Times New Roman"/>
                <w:sz w:val="17"/>
              </w:rPr>
              <w:t>256 Hz</w:t>
            </w:r>
          </w:p>
        </w:tc>
      </w:tr>
    </w:tbl>
    <w:p/>
    <w:p>
      <w:pPr>
        <w:jc w:val="both"/>
      </w:pPr>
      <w:r>
        <w:rPr/>
        <w:t>The artifact row bears directly on Sections III-E, III-F and III-I: [1] could identify and remove ocular and muscular components because they were recorded on dedicated channels. With eight EEG channels and no EOG or EMG reference, the present dataset offers no such route, which is why the confounds documented here are uncontrolled rather than removed.</w:t>
      </w:r>
    </w:p>
    <w:p>
      <w:pPr>
        <w:pStyle w:val="Heading3"/>
        <w:spacing w:before="200" w:after="80"/>
      </w:pPr>
      <w:r>
        <w:rPr>
          <w:rFonts w:ascii="Times New Roman" w:hAnsi="Times New Roman"/>
          <w:color w:val="1F2328"/>
          <w:sz w:val="23"/>
        </w:rPr>
        <w:t>D. Methodological implications</w:t>
      </w:r>
    </w:p>
    <w:p>
      <w:pPr>
        <w:jc w:val="both"/>
      </w:pPr>
      <w:r>
        <w:rPr/>
        <w:t>Three cautions, each with a worked example in this dataset.</w:t>
      </w:r>
    </w:p>
    <w:p>
      <w:pPr>
        <w:pStyle w:val="ListNumber"/>
      </w:pPr>
      <w:r>
        <w:rPr>
          <w:b/>
        </w:rPr>
        <w:t>Epoch windows that precede imagery onset import the cue.</w:t>
      </w:r>
      <w:r>
        <w:rPr/>
        <w:t xml:space="preserve"> The commonly used −1 s pre-onset baseline overlaps a class-specific visual stimulus here; the cue period alone decoded at 52–56 %.</w:t>
      </w:r>
    </w:p>
    <w:p>
      <w:pPr>
        <w:pStyle w:val="ListNumber"/>
      </w:pPr>
      <w:r>
        <w:rPr>
          <w:b/>
        </w:rPr>
        <w:t>Uncorrected paired tests over CV folds overstate pipeline differences.</w:t>
      </w:r>
      <w:r>
        <w:rPr/>
        <w:t xml:space="preserve"> The naive test gave </w:t>
      </w:r>
      <w:r>
        <w:rPr>
          <w:i/>
        </w:rPr>
        <w:t>p</w:t>
      </w:r>
      <w:r>
        <w:rPr/>
        <w:t xml:space="preserve"> = .046 where the corrected resampled test gave </w:t>
      </w:r>
      <w:r>
        <w:rPr>
          <w:i/>
        </w:rPr>
        <w:t>p</w:t>
      </w:r>
      <w:r>
        <w:rPr/>
        <w:t xml:space="preserve"> = .247.</w:t>
      </w:r>
    </w:p>
    <w:p>
      <w:pPr>
        <w:pStyle w:val="ListNumber"/>
      </w:pPr>
      <w:r>
        <w:rPr>
          <w:b/>
        </w:rPr>
        <w:t xml:space="preserve">Accuracy plus a permutation </w:t>
      </w:r>
      <w:r>
        <w:rPr>
          <w:b/>
          <w:i/>
        </w:rPr>
        <w:t>p</w:t>
      </w:r>
      <w:r>
        <w:rPr>
          <w:b/>
        </w:rPr>
        <w:t>-value is insufficient evidence for a BCI claim on a low-channel montage.</w:t>
      </w:r>
      <w:r>
        <w:rPr/>
        <w:t xml:space="preserve"> Section III-E is a case in which a Holm-corrected significant result proved to be arousal and muscle tone. We recommend reporting spatial gradient, rhythm specificity, and stability across recording gaps alongside accuracy.</w:t>
      </w:r>
    </w:p>
    <w:p>
      <w:pPr>
        <w:pStyle w:val="Heading3"/>
        <w:spacing w:before="200" w:after="80"/>
      </w:pPr>
      <w:r>
        <w:rPr>
          <w:rFonts w:ascii="Times New Roman" w:hAnsi="Times New Roman"/>
          <w:color w:val="1F2328"/>
          <w:sz w:val="23"/>
        </w:rPr>
        <w:t>E. Limitations</w:t>
      </w:r>
    </w:p>
    <w:p>
      <w:pPr>
        <w:pStyle w:val="ListBullet"/>
      </w:pPr>
      <w:r>
        <w:rPr/>
        <w:t>Ten participants; all correlational analyses in Section III-E are descriptive, not inferential.</w:t>
      </w:r>
    </w:p>
    <w:p>
      <w:pPr>
        <w:pStyle w:val="ListBullet"/>
      </w:pPr>
      <w:r>
        <w:rPr>
          <w:b/>
        </w:rPr>
        <w:t>Number of hypotheses tested.</w:t>
      </w:r>
      <w:r>
        <w:rPr/>
        <w:t xml:space="preserve"> Roughly ten distinct hypotheses were evaluated against the Stand-vs-Walk contrast (enumerated in Section III-J), each attempted after the preceding one failed. That asymmetric stopping rule inflates the false-positive rate of any single reported comparison, and readers should discount Section III-J accordingly. It does not affect the confirmatory results in Sections III-B to III-D, whose protocol was fixed in advance; if anything an unsuccessful search of this size strengthens a null rather than weakening it.</w:t>
      </w:r>
    </w:p>
    <w:p>
      <w:pPr>
        <w:pStyle w:val="ListBullet"/>
      </w:pPr>
      <w:r>
        <w:rPr>
          <w:b/>
        </w:rPr>
        <w:t>No non-compound walking condition.</w:t>
      </w:r>
      <w:r>
        <w:rPr/>
        <w:t xml:space="preserve"> Every walking trial carried the arm swing, so the contribution of the compound-limbs instruction cannot be isolated even in principle. Section IV-A argues from the </w:t>
      </w:r>
      <w:r>
        <w:rPr>
          <w:i/>
        </w:rPr>
        <w:t>absence of the mechanism</w:t>
      </w:r>
      <w:r>
        <w:rPr/>
        <w:t xml:space="preserve"> — a measured laterality difference of +0.026 dB where the mechanism requires a large one — not from a compound-versus-simple comparison, which this design cannot support.</w:t>
      </w:r>
    </w:p>
    <w:p>
      <w:pPr>
        <w:pStyle w:val="ListBullet"/>
      </w:pPr>
      <w:r>
        <w:rPr>
          <w:b/>
        </w:rPr>
        <w:t>Task compliance was never measured.</w:t>
      </w:r>
      <w:r>
        <w:rPr/>
        <w:t xml:space="preserve"> Participants were not screened for imagery ability, given feedback training, or asked to rate imagery vividness. The null in Section III-H is therefore consistent with an untrainable montage, with genuinely inseparable imagery, and with participants who did not perform the task; the present design cannot distinguish these.</w:t>
      </w:r>
    </w:p>
    <w:p>
      <w:pPr>
        <w:pStyle w:val="ListBullet"/>
      </w:pPr>
      <w:r>
        <w:rPr/>
        <w:t xml:space="preserve">No EOG or EMG channels, so artifact contributions are </w:t>
      </w:r>
      <w:r>
        <w:rPr>
          <w:i/>
        </w:rPr>
        <w:t>identified</w:t>
      </w:r>
      <w:r>
        <w:rPr/>
        <w:t xml:space="preserve"> by topography and spectrum but cannot be </w:t>
      </w:r>
      <w:r>
        <w:rPr>
          <w:i/>
        </w:rPr>
        <w:t>removed</w:t>
      </w:r>
      <w:r>
        <w:rPr/>
        <w:t>.</w:t>
      </w:r>
    </w:p>
    <w:p>
      <w:pPr>
        <w:pStyle w:val="ListBullet"/>
      </w:pPr>
      <w:r>
        <w:rPr/>
        <w:t>Class-to-marker assignment follows the experimenters' protocol documentation. An independent reading of the within-trial marker ordering is possible; every per-class statement is conditional on the assignment used here.</w:t>
      </w:r>
    </w:p>
    <w:p>
      <w:pPr>
        <w:pStyle w:val="ListBullet"/>
      </w:pPr>
      <w:r>
        <w:rPr/>
        <w:t>The M1–M4 thresholds distinguishing "cortical" from "artifact" are criteria we defined from motor-imagery physiology, not established standards.</w:t>
      </w:r>
    </w:p>
    <w:p>
      <w:pPr>
        <w:pStyle w:val="ListBullet"/>
      </w:pPr>
      <w:r>
        <w:rPr/>
        <w:t>The manipulation check indicates that the Rest-versus-imagery contrast is confounded with visual attention. The ~65 % results are valid as decoding but should not be attributed specifically to motor imagery.</w:t>
      </w:r>
    </w:p>
    <w:p>
      <w:pPr>
        <w:pStyle w:val="Heading3"/>
        <w:spacing w:before="200" w:after="80"/>
      </w:pPr>
      <w:r>
        <w:rPr>
          <w:rFonts w:ascii="Times New Roman" w:hAnsi="Times New Roman"/>
          <w:color w:val="1F2328"/>
          <w:sz w:val="23"/>
        </w:rPr>
        <w:t>F. Recommendations</w:t>
      </w:r>
    </w:p>
    <w:p>
      <w:pPr>
        <w:jc w:val="both"/>
      </w:pPr>
      <w:r>
        <w:rPr/>
        <w:t xml:space="preserve">For a follow-up with the same hardware, the highest-value change is to the paradigm rather than the equipment. The present montage contains three symmetric lateral pairs (FC3/FC4, C3/C4, CP3/CP4) and is therefore reasonably suited to a </w:t>
      </w:r>
      <w:r>
        <w:rPr>
          <w:i/>
        </w:rPr>
        <w:t>lateralised</w:t>
      </w:r>
      <w:r>
        <w:rPr/>
        <w:t xml:space="preserve"> contrast; it was simply applied to a non-lateralised one. Replacing standing-versus-walking with the mirrored compound-limbs pair of [1] would test the demonstrated mechanism on low-cost hardware — a stronger result than the original design could yield, since the question becomes whether the effect survives a 56→8 channel reduction.</w:t>
      </w:r>
    </w:p>
    <w:p>
      <w:pPr>
        <w:jc w:val="both"/>
      </w:pPr>
      <w:r>
        <w:rPr/>
        <w:t>Further: equalise cognitive and visual demands between rest and imagery conditions, record at least one EOG derivation, and include feedback training, since these participants performed open-loop imagery without screening.</w:t>
      </w:r>
    </w:p>
    <w:p>
      <w:pPr>
        <w:pBdr>
          <w:bottom w:val="single" w:sz="6" w:color="BBBBBB"/>
        </w:pBdr>
      </w:pPr>
    </w:p>
    <w:p>
      <w:pPr>
        <w:pStyle w:val="Heading2"/>
        <w:spacing w:before="280" w:after="80"/>
      </w:pPr>
      <w:r>
        <w:rPr>
          <w:rFonts w:ascii="Times New Roman" w:hAnsi="Times New Roman"/>
          <w:color w:val="1F2328"/>
          <w:sz w:val="28"/>
        </w:rPr>
        <w:t>V. Conclusion</w:t>
      </w:r>
    </w:p>
    <w:p>
      <w:pPr>
        <w:jc w:val="both"/>
      </w:pPr>
      <w:r>
        <w:rPr/>
        <w:t>An 8-channel wearable montage detects rest against lower-limb motor imagery at approximately 65 % within participant, individually significant in 8 of 10 participants for Rest versus Walk — though a manipulation check against the visually matched rest condition means this separation cannot be attributed specifically to motor imagery rather than to visual attention, and would not be expected to survive deployment outside a fixation task.</w:t>
      </w:r>
    </w:p>
    <w:p>
      <w:pPr>
        <w:jc w:val="both"/>
      </w:pPr>
      <w:r>
        <w:rPr/>
        <w:t xml:space="preserve">It does not separate standing from walking imagery. At the participant level that contrast is not significantly above chance (53.1 %, </w:t>
      </w:r>
      <w:r>
        <w:rPr>
          <w:i/>
        </w:rPr>
        <w:t>p</w:t>
      </w:r>
      <w:r>
        <w:rPr/>
        <w:t xml:space="preserve"> = .246, 95 % CI [47.5, 58.7]) and is significantly below the accuracy a device would require (</w:t>
      </w:r>
      <w:r>
        <w:rPr>
          <w:i/>
        </w:rPr>
        <w:t>p</w:t>
      </w:r>
      <w:r>
        <w:rPr/>
        <w:t xml:space="preserve"> = 4.1 × 10⁻⁵). The bound is established four ways — an 840-configuration search, a learning curve worth +1.7 points per session doubling, a channel curve saturating at three electrodes, and topographies indistinguishable from each participant's own noise floor — and the single apparently significant participant proved to be decoding arousal and muscle tone.</w:t>
      </w:r>
    </w:p>
    <w:p>
      <w:pPr>
        <w:jc w:val="both"/>
      </w:pPr>
      <w:r>
        <w:rPr/>
        <w:t xml:space="preserve">Two boundaries on that conclusion should be carried forward. The compound-limbs paradigm's benefit requires the mirrored configurations to occupy different classes; this design places both inside a single walking trial, so a trial-averaged contrast cancels them and this study does not test whether that benefit survives a channel reduction. Whether the within-trial alternation is itself decodable is left open: it produced the largest laterality effect measured here (+1.02 dB) but fails multiple-comparison correction at </w:t>
      </w:r>
      <w:r>
        <w:rPr>
          <w:i/>
        </w:rPr>
        <w:t>n</w:t>
      </w:r>
      <w:r>
        <w:rPr/>
        <w:t xml:space="preserve"> = 10. And because task compliance was never measured, the null is consistent with an unresolvable montage, with genuinely inseparable imagery, and with participants who did not perform the task; the present design cannot distinguish them. What the study establishes is that this class set, on this hardware, with untrained participants, does not support the discrimination an exoskeleton would need — and it identifies the paradigm and screening changes that a study capable of settling the question would require.</w:t>
      </w:r>
    </w:p>
    <w:p>
      <w:pPr>
        <w:jc w:val="both"/>
      </w:pPr>
      <w:r>
        <w:rPr/>
        <w:t>A positive control on the same hardware sharpens that statement. Executed movements separate at 91.1 %, so the recording chain is sound; but the separation is peripheral rather than cortical, and every accuracy in this paper orders by the peripheral signal a contrast contains. A low-channel wearable montage of this kind is best understood not as a weak cortical sensor but as one that reports whatever non-cortical difference is available — which is why significance testing alone cannot establish a BCI claim on such hardware.</w:t>
      </w:r>
    </w:p>
    <w:p>
      <w:pPr>
        <w:pBdr>
          <w:bottom w:val="single" w:sz="6" w:color="BBBBBB"/>
        </w:pBdr>
      </w:pPr>
    </w:p>
    <w:p>
      <w:pPr>
        <w:pStyle w:val="Heading2"/>
        <w:spacing w:before="280" w:after="80"/>
      </w:pPr>
      <w:r>
        <w:rPr>
          <w:rFonts w:ascii="Times New Roman" w:hAnsi="Times New Roman"/>
          <w:color w:val="1F2328"/>
          <w:sz w:val="28"/>
        </w:rPr>
        <w:t>Figures</w:t>
      </w:r>
    </w:p>
    <w:p>
      <w:pPr>
        <w:jc w:val="both"/>
      </w:pPr>
      <w:r>
        <w:rPr/>
        <w:t xml:space="preserve">Three figures are drawn specifically for the paper and are </w:t>
      </w:r>
      <w:r>
        <w:rPr>
          <w:b/>
        </w:rPr>
        <w:t>vector</w:t>
      </w:r>
      <w:r>
        <w:rPr/>
        <w:t xml:space="preserve"> (</w:t>
      </w:r>
      <w:r>
        <w:rPr>
          <w:rFonts w:ascii="Consolas" w:hAnsi="Consolas"/>
          <w:sz w:val="18"/>
        </w:rPr>
        <w:t>.pdf</w:t>
      </w:r>
      <w:r>
        <w:rPr/>
        <w:t xml:space="preserve">, Type-42 editable text): </w:t>
      </w:r>
      <w:r>
        <w:rPr>
          <w:rFonts w:ascii="Consolas" w:hAnsi="Consolas"/>
          <w:sz w:val="18"/>
        </w:rPr>
        <w:t>fig_paradigm</w:t>
      </w:r>
      <w:r>
        <w:rPr/>
        <w:t xml:space="preserve">, </w:t>
      </w:r>
      <w:r>
        <w:rPr>
          <w:rFonts w:ascii="Consolas" w:hAnsi="Consolas"/>
          <w:sz w:val="18"/>
        </w:rPr>
        <w:t>fig_pipeline</w:t>
      </w:r>
      <w:r>
        <w:rPr/>
        <w:t xml:space="preserve">, </w:t>
      </w:r>
      <w:r>
        <w:rPr>
          <w:rFonts w:ascii="Consolas" w:hAnsi="Consolas"/>
          <w:sz w:val="18"/>
        </w:rPr>
        <w:t>fig_summary</w:t>
      </w:r>
      <w:r>
        <w:rPr/>
        <w:t xml:space="preserve">. Regenerate any of them with </w:t>
      </w:r>
      <w:r>
        <w:rPr>
          <w:rFonts w:ascii="Consolas" w:hAnsi="Consolas"/>
          <w:sz w:val="18"/>
        </w:rPr>
        <w:t>python fig_&lt;name&gt;.py</w:t>
      </w:r>
      <w:r>
        <w:rPr/>
        <w:t xml:space="preserve">. The remaining figures are 200 dpi PNG from the analysis stages; change the </w:t>
      </w:r>
      <w:r>
        <w:rPr>
          <w:rFonts w:ascii="Consolas" w:hAnsi="Consolas"/>
          <w:sz w:val="18"/>
        </w:rPr>
        <w:t>savefig</w:t>
      </w:r>
      <w:r>
        <w:rPr/>
        <w:t xml:space="preserve"> extension in their scripts if the journal requires vector throughout.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72"/>
            <w:shd w:val="clear" w:fill="EEF2F7"/>
          </w:tcPr>
          <w:p>
            <w:pPr>
              <w:spacing w:before="20" w:after="20"/>
            </w:pPr>
            <w:r>
              <w:rPr>
                <w:rFonts w:ascii="Times New Roman" w:hAnsi="Times New Roman"/>
                <w:b/>
                <w:sz w:val="17"/>
              </w:rPr>
            </w:r>
            <w:r>
              <w:rPr>
                <w:rFonts w:ascii="Times New Roman" w:hAnsi="Times New Roman"/>
                <w:b/>
                <w:sz w:val="17"/>
              </w:rPr>
              <w:t>#</w:t>
            </w:r>
          </w:p>
        </w:tc>
        <w:tc>
          <w:tcPr>
            <w:tcW w:type="dxa" w:w="3072"/>
            <w:shd w:val="clear" w:fill="EEF2F7"/>
          </w:tcPr>
          <w:p>
            <w:pPr>
              <w:spacing w:before="20" w:after="20"/>
            </w:pPr>
            <w:r>
              <w:rPr>
                <w:rFonts w:ascii="Times New Roman" w:hAnsi="Times New Roman"/>
                <w:b/>
                <w:sz w:val="17"/>
              </w:rPr>
            </w:r>
            <w:r>
              <w:rPr>
                <w:rFonts w:ascii="Times New Roman" w:hAnsi="Times New Roman"/>
                <w:b/>
                <w:sz w:val="17"/>
              </w:rPr>
              <w:t>File</w:t>
            </w:r>
          </w:p>
        </w:tc>
        <w:tc>
          <w:tcPr>
            <w:tcW w:type="dxa" w:w="3072"/>
            <w:shd w:val="clear" w:fill="EEF2F7"/>
          </w:tcPr>
          <w:p>
            <w:pPr>
              <w:spacing w:before="20" w:after="20"/>
            </w:pPr>
            <w:r>
              <w:rPr>
                <w:rFonts w:ascii="Times New Roman" w:hAnsi="Times New Roman"/>
                <w:b/>
                <w:sz w:val="17"/>
              </w:rPr>
            </w:r>
            <w:r>
              <w:rPr>
                <w:rFonts w:ascii="Times New Roman" w:hAnsi="Times New Roman"/>
                <w:b/>
                <w:sz w:val="17"/>
              </w:rPr>
              <w:t>Caption</w:t>
            </w:r>
          </w:p>
        </w:tc>
      </w:tr>
      <w:tr>
        <w:tc>
          <w:tcPr>
            <w:tcW w:type="dxa" w:w="3072"/>
          </w:tcPr>
          <w:p>
            <w:pPr>
              <w:spacing w:before="20" w:after="20"/>
            </w:pPr>
            <w:r>
              <w:rPr>
                <w:rFonts w:ascii="Times New Roman" w:hAnsi="Times New Roman"/>
                <w:sz w:val="17"/>
              </w:rPr>
            </w:r>
            <w:r>
              <w:rPr>
                <w:rFonts w:ascii="Times New Roman" w:hAnsi="Times New Roman"/>
                <w:sz w:val="17"/>
              </w:rPr>
              <w:t>1</w:t>
            </w:r>
          </w:p>
        </w:tc>
        <w:tc>
          <w:tcPr>
            <w:tcW w:type="dxa" w:w="3072"/>
          </w:tcPr>
          <w:p>
            <w:pPr>
              <w:spacing w:before="20" w:after="20"/>
            </w:pPr>
            <w:r>
              <w:rPr>
                <w:rFonts w:ascii="Times New Roman" w:hAnsi="Times New Roman"/>
                <w:sz w:val="17"/>
              </w:rPr>
            </w:r>
            <w:r>
              <w:rPr>
                <w:rFonts w:ascii="Consolas" w:hAnsi="Consolas"/>
                <w:b/>
                <w:sz w:val="17"/>
              </w:rPr>
              <w:t>fig_paradigm.pdf</w:t>
            </w:r>
          </w:p>
        </w:tc>
        <w:tc>
          <w:tcPr>
            <w:tcW w:type="dxa" w:w="3072"/>
          </w:tcPr>
          <w:p>
            <w:pPr>
              <w:spacing w:before="20" w:after="20"/>
            </w:pPr>
            <w:r>
              <w:rPr>
                <w:rFonts w:ascii="Times New Roman" w:hAnsi="Times New Roman"/>
                <w:sz w:val="17"/>
              </w:rPr>
            </w:r>
            <w:r>
              <w:rPr>
                <w:rFonts w:ascii="Times New Roman" w:hAnsi="Times New Roman"/>
                <w:b/>
                <w:sz w:val="17"/>
              </w:rPr>
              <w:t>Trial structure.</w:t>
            </w:r>
            <w:r>
              <w:rPr>
                <w:rFonts w:ascii="Times New Roman" w:hAnsi="Times New Roman"/>
                <w:sz w:val="17"/>
              </w:rPr>
              <w:t xml:space="preserve"> 3.00 s fixation → 2.00 s class-specific cue → 5.00 s imagery on a blank screen, redrawn from the PsychoPy builder flow and confirmed against the recorded marker stream (±0.02 s across 13 files). Only the cue differs between classes; the imagery screen is identical, which is what makes Rest a visually matched baseline. Time axis is referenced to imagery onset.</w:t>
            </w:r>
          </w:p>
        </w:tc>
      </w:tr>
      <w:tr>
        <w:tc>
          <w:tcPr>
            <w:tcW w:type="dxa" w:w="3072"/>
          </w:tcPr>
          <w:p>
            <w:pPr>
              <w:spacing w:before="20" w:after="20"/>
            </w:pPr>
            <w:r>
              <w:rPr>
                <w:rFonts w:ascii="Times New Roman" w:hAnsi="Times New Roman"/>
                <w:sz w:val="17"/>
              </w:rPr>
            </w:r>
            <w:r>
              <w:rPr>
                <w:rFonts w:ascii="Times New Roman" w:hAnsi="Times New Roman"/>
                <w:sz w:val="17"/>
              </w:rPr>
              <w:t>2</w:t>
            </w:r>
          </w:p>
        </w:tc>
        <w:tc>
          <w:tcPr>
            <w:tcW w:type="dxa" w:w="3072"/>
          </w:tcPr>
          <w:p>
            <w:pPr>
              <w:spacing w:before="20" w:after="20"/>
            </w:pPr>
            <w:r>
              <w:rPr>
                <w:rFonts w:ascii="Times New Roman" w:hAnsi="Times New Roman"/>
                <w:sz w:val="17"/>
              </w:rPr>
            </w:r>
            <w:r>
              <w:rPr>
                <w:rFonts w:ascii="Consolas" w:hAnsi="Consolas"/>
                <w:b/>
                <w:sz w:val="17"/>
              </w:rPr>
              <w:t>fig_pipeline.pdf</w:t>
            </w:r>
          </w:p>
        </w:tc>
        <w:tc>
          <w:tcPr>
            <w:tcW w:type="dxa" w:w="3072"/>
          </w:tcPr>
          <w:p>
            <w:pPr>
              <w:spacing w:before="20" w:after="20"/>
            </w:pPr>
            <w:r>
              <w:rPr>
                <w:rFonts w:ascii="Times New Roman" w:hAnsi="Times New Roman"/>
                <w:sz w:val="17"/>
              </w:rPr>
            </w:r>
            <w:r>
              <w:rPr>
                <w:rFonts w:ascii="Times New Roman" w:hAnsi="Times New Roman"/>
                <w:b/>
                <w:sz w:val="17"/>
              </w:rPr>
              <w:t>Decoding pipeline.</w:t>
            </w:r>
            <w:r>
              <w:rPr>
                <w:rFonts w:ascii="Times New Roman" w:hAnsi="Times New Roman"/>
                <w:sz w:val="17"/>
              </w:rPr>
              <w:t xml:space="preserve"> Each stage with its data shape and the property of the recording that motivates it. The shaded region marks everything refit inside the cross-validation training fold.</w:t>
            </w:r>
          </w:p>
        </w:tc>
      </w:tr>
      <w:tr>
        <w:tc>
          <w:tcPr>
            <w:tcW w:type="dxa" w:w="3072"/>
          </w:tcPr>
          <w:p>
            <w:pPr>
              <w:spacing w:before="20" w:after="20"/>
            </w:pPr>
            <w:r>
              <w:rPr>
                <w:rFonts w:ascii="Times New Roman" w:hAnsi="Times New Roman"/>
                <w:sz w:val="17"/>
              </w:rPr>
            </w:r>
            <w:r>
              <w:rPr>
                <w:rFonts w:ascii="Times New Roman" w:hAnsi="Times New Roman"/>
                <w:sz w:val="17"/>
              </w:rPr>
              <w:t>3</w:t>
            </w:r>
          </w:p>
        </w:tc>
        <w:tc>
          <w:tcPr>
            <w:tcW w:type="dxa" w:w="3072"/>
          </w:tcPr>
          <w:p>
            <w:pPr>
              <w:spacing w:before="20" w:after="20"/>
            </w:pPr>
            <w:r>
              <w:rPr>
                <w:rFonts w:ascii="Times New Roman" w:hAnsi="Times New Roman"/>
                <w:sz w:val="17"/>
              </w:rPr>
            </w:r>
            <w:r>
              <w:rPr>
                <w:rFonts w:ascii="Consolas" w:hAnsi="Consolas"/>
                <w:b/>
                <w:sz w:val="17"/>
              </w:rPr>
              <w:t>fig_summary.pdf</w:t>
            </w:r>
          </w:p>
        </w:tc>
        <w:tc>
          <w:tcPr>
            <w:tcW w:type="dxa" w:w="3072"/>
          </w:tcPr>
          <w:p>
            <w:pPr>
              <w:spacing w:before="20" w:after="20"/>
            </w:pPr>
            <w:r>
              <w:rPr>
                <w:rFonts w:ascii="Times New Roman" w:hAnsi="Times New Roman"/>
                <w:sz w:val="17"/>
              </w:rPr>
            </w:r>
            <w:r>
              <w:rPr>
                <w:rFonts w:ascii="Times New Roman" w:hAnsi="Times New Roman"/>
                <w:b/>
                <w:sz w:val="17"/>
              </w:rPr>
              <w:t>Results in one panel.</w:t>
            </w:r>
            <w:r>
              <w:rPr>
                <w:rFonts w:ascii="Times New Roman" w:hAnsi="Times New Roman"/>
                <w:sz w:val="17"/>
              </w:rPr>
              <w:t xml:space="preserve"> (A) nested accuracy per contrast with individual participants and the number individually significant; (B) Stand-vs-Walk, nested versus the deliberately optimistic best-of-840 search; (C) trial and electrode ceiling curves; (D) band ablation showing the one significant participant decodes equally well from bands containing no sensorimotor rhythm.</w:t>
            </w:r>
          </w:p>
        </w:tc>
      </w:tr>
      <w:tr>
        <w:tc>
          <w:tcPr>
            <w:tcW w:type="dxa" w:w="3072"/>
          </w:tcPr>
          <w:p>
            <w:pPr>
              <w:spacing w:before="20" w:after="20"/>
            </w:pPr>
            <w:r>
              <w:rPr>
                <w:rFonts w:ascii="Times New Roman" w:hAnsi="Times New Roman"/>
                <w:sz w:val="17"/>
              </w:rPr>
            </w:r>
            <w:r>
              <w:rPr>
                <w:rFonts w:ascii="Times New Roman" w:hAnsi="Times New Roman"/>
                <w:sz w:val="17"/>
              </w:rPr>
              <w:t>4</w:t>
            </w:r>
          </w:p>
        </w:tc>
        <w:tc>
          <w:tcPr>
            <w:tcW w:type="dxa" w:w="3072"/>
          </w:tcPr>
          <w:p>
            <w:pPr>
              <w:spacing w:before="20" w:after="20"/>
            </w:pPr>
            <w:r>
              <w:rPr>
                <w:rFonts w:ascii="Times New Roman" w:hAnsi="Times New Roman"/>
                <w:sz w:val="17"/>
              </w:rPr>
            </w:r>
            <w:r>
              <w:rPr>
                <w:rFonts w:ascii="Consolas" w:hAnsi="Consolas"/>
                <w:sz w:val="17"/>
              </w:rPr>
              <w:t>fig_confusion_3cls.png</w:t>
            </w:r>
          </w:p>
        </w:tc>
        <w:tc>
          <w:tcPr>
            <w:tcW w:type="dxa" w:w="3072"/>
          </w:tcPr>
          <w:p>
            <w:pPr>
              <w:spacing w:before="20" w:after="20"/>
            </w:pPr>
            <w:r>
              <w:rPr>
                <w:rFonts w:ascii="Times New Roman" w:hAnsi="Times New Roman"/>
                <w:sz w:val="17"/>
              </w:rPr>
            </w:r>
            <w:r>
              <w:rPr>
                <w:rFonts w:ascii="Times New Roman" w:hAnsi="Times New Roman"/>
                <w:sz w:val="17"/>
              </w:rPr>
              <w:t>Per-participant and pooled three-class confusion matrices. All error mass lies in the Stand–Walk block.</w:t>
            </w:r>
          </w:p>
        </w:tc>
      </w:tr>
      <w:tr>
        <w:tc>
          <w:tcPr>
            <w:tcW w:type="dxa" w:w="3072"/>
          </w:tcPr>
          <w:p>
            <w:pPr>
              <w:spacing w:before="20" w:after="20"/>
            </w:pPr>
            <w:r>
              <w:rPr>
                <w:rFonts w:ascii="Times New Roman" w:hAnsi="Times New Roman"/>
                <w:sz w:val="17"/>
              </w:rPr>
            </w:r>
            <w:r>
              <w:rPr>
                <w:rFonts w:ascii="Times New Roman" w:hAnsi="Times New Roman"/>
                <w:sz w:val="17"/>
              </w:rPr>
              <w:t>5</w:t>
            </w:r>
          </w:p>
        </w:tc>
        <w:tc>
          <w:tcPr>
            <w:tcW w:type="dxa" w:w="3072"/>
          </w:tcPr>
          <w:p>
            <w:pPr>
              <w:spacing w:before="20" w:after="20"/>
            </w:pPr>
            <w:r>
              <w:rPr>
                <w:rFonts w:ascii="Times New Roman" w:hAnsi="Times New Roman"/>
                <w:sz w:val="17"/>
              </w:rPr>
            </w:r>
            <w:r>
              <w:rPr>
                <w:rFonts w:ascii="Consolas" w:hAnsi="Consolas"/>
                <w:sz w:val="17"/>
              </w:rPr>
              <w:t>fig_subject_significance.png</w:t>
            </w:r>
          </w:p>
        </w:tc>
        <w:tc>
          <w:tcPr>
            <w:tcW w:type="dxa" w:w="3072"/>
          </w:tcPr>
          <w:p>
            <w:pPr>
              <w:spacing w:before="20" w:after="20"/>
            </w:pPr>
            <w:r>
              <w:rPr>
                <w:rFonts w:ascii="Times New Roman" w:hAnsi="Times New Roman"/>
                <w:sz w:val="17"/>
              </w:rPr>
            </w:r>
            <w:r>
              <w:rPr>
                <w:rFonts w:ascii="Times New Roman" w:hAnsi="Times New Roman"/>
                <w:sz w:val="17"/>
              </w:rPr>
              <w:t>Per-participant accuracy against a 1000-permutation label null, four contrasts</w:t>
            </w:r>
          </w:p>
        </w:tc>
      </w:tr>
      <w:tr>
        <w:tc>
          <w:tcPr>
            <w:tcW w:type="dxa" w:w="3072"/>
          </w:tcPr>
          <w:p>
            <w:pPr>
              <w:spacing w:before="20" w:after="20"/>
            </w:pPr>
            <w:r>
              <w:rPr>
                <w:rFonts w:ascii="Times New Roman" w:hAnsi="Times New Roman"/>
                <w:sz w:val="17"/>
              </w:rPr>
            </w:r>
            <w:r>
              <w:rPr>
                <w:rFonts w:ascii="Times New Roman" w:hAnsi="Times New Roman"/>
                <w:sz w:val="17"/>
              </w:rPr>
              <w:t>6</w:t>
            </w:r>
          </w:p>
        </w:tc>
        <w:tc>
          <w:tcPr>
            <w:tcW w:type="dxa" w:w="3072"/>
          </w:tcPr>
          <w:p>
            <w:pPr>
              <w:spacing w:before="20" w:after="20"/>
            </w:pPr>
            <w:r>
              <w:rPr>
                <w:rFonts w:ascii="Times New Roman" w:hAnsi="Times New Roman"/>
                <w:sz w:val="17"/>
              </w:rPr>
            </w:r>
            <w:r>
              <w:rPr>
                <w:rFonts w:ascii="Consolas" w:hAnsi="Consolas"/>
                <w:sz w:val="17"/>
              </w:rPr>
              <w:t>fig_rsq_Stand_vs_Walk.png</w:t>
            </w:r>
          </w:p>
        </w:tc>
        <w:tc>
          <w:tcPr>
            <w:tcW w:type="dxa" w:w="3072"/>
          </w:tcPr>
          <w:p>
            <w:pPr>
              <w:spacing w:before="20" w:after="20"/>
            </w:pPr>
            <w:r>
              <w:rPr>
                <w:rFonts w:ascii="Times New Roman" w:hAnsi="Times New Roman"/>
                <w:sz w:val="17"/>
              </w:rPr>
            </w:r>
            <w:r>
              <w:rPr>
                <w:rFonts w:ascii="Times New Roman" w:hAnsi="Times New Roman"/>
                <w:sz w:val="17"/>
              </w:rPr>
              <w:t>Channel × frequency discriminability for the hard contrast</w:t>
            </w:r>
          </w:p>
        </w:tc>
      </w:tr>
      <w:tr>
        <w:tc>
          <w:tcPr>
            <w:tcW w:type="dxa" w:w="3072"/>
          </w:tcPr>
          <w:p>
            <w:pPr>
              <w:spacing w:before="20" w:after="20"/>
            </w:pPr>
            <w:r>
              <w:rPr>
                <w:rFonts w:ascii="Times New Roman" w:hAnsi="Times New Roman"/>
                <w:sz w:val="17"/>
              </w:rPr>
            </w:r>
            <w:r>
              <w:rPr>
                <w:rFonts w:ascii="Times New Roman" w:hAnsi="Times New Roman"/>
                <w:sz w:val="17"/>
              </w:rPr>
              <w:t>7</w:t>
            </w:r>
          </w:p>
        </w:tc>
        <w:tc>
          <w:tcPr>
            <w:tcW w:type="dxa" w:w="3072"/>
          </w:tcPr>
          <w:p>
            <w:pPr>
              <w:spacing w:before="20" w:after="20"/>
            </w:pPr>
            <w:r>
              <w:rPr>
                <w:rFonts w:ascii="Times New Roman" w:hAnsi="Times New Roman"/>
                <w:sz w:val="17"/>
              </w:rPr>
            </w:r>
            <w:r>
              <w:rPr>
                <w:rFonts w:ascii="Consolas" w:hAnsi="Consolas"/>
                <w:sz w:val="17"/>
              </w:rPr>
              <w:t>fig_svw_window_scan.png</w:t>
            </w:r>
          </w:p>
        </w:tc>
        <w:tc>
          <w:tcPr>
            <w:tcW w:type="dxa" w:w="3072"/>
          </w:tcPr>
          <w:p>
            <w:pPr>
              <w:spacing w:before="20" w:after="20"/>
            </w:pPr>
            <w:r>
              <w:rPr>
                <w:rFonts w:ascii="Times New Roman" w:hAnsi="Times New Roman"/>
                <w:sz w:val="17"/>
              </w:rPr>
            </w:r>
            <w:r>
              <w:rPr>
                <w:rFonts w:ascii="Times New Roman" w:hAnsi="Times New Roman"/>
                <w:sz w:val="17"/>
              </w:rPr>
              <w:t>840-configuration window × band scan (exploration bound)</w:t>
            </w:r>
          </w:p>
        </w:tc>
      </w:tr>
      <w:tr>
        <w:tc>
          <w:tcPr>
            <w:tcW w:type="dxa" w:w="3072"/>
          </w:tcPr>
          <w:p>
            <w:pPr>
              <w:spacing w:before="20" w:after="20"/>
            </w:pPr>
            <w:r>
              <w:rPr>
                <w:rFonts w:ascii="Times New Roman" w:hAnsi="Times New Roman"/>
                <w:sz w:val="17"/>
              </w:rPr>
            </w:r>
            <w:r>
              <w:rPr>
                <w:rFonts w:ascii="Times New Roman" w:hAnsi="Times New Roman"/>
                <w:sz w:val="17"/>
              </w:rPr>
              <w:t>8</w:t>
            </w:r>
          </w:p>
        </w:tc>
        <w:tc>
          <w:tcPr>
            <w:tcW w:type="dxa" w:w="3072"/>
          </w:tcPr>
          <w:p>
            <w:pPr>
              <w:spacing w:before="20" w:after="20"/>
            </w:pPr>
            <w:r>
              <w:rPr>
                <w:rFonts w:ascii="Times New Roman" w:hAnsi="Times New Roman"/>
                <w:sz w:val="17"/>
              </w:rPr>
            </w:r>
            <w:r>
              <w:rPr>
                <w:rFonts w:ascii="Consolas" w:hAnsi="Consolas"/>
                <w:sz w:val="17"/>
              </w:rPr>
              <w:t>fig_pty_physiology.png</w:t>
            </w:r>
          </w:p>
        </w:tc>
        <w:tc>
          <w:tcPr>
            <w:tcW w:type="dxa" w:w="3072"/>
          </w:tcPr>
          <w:p>
            <w:pPr>
              <w:spacing w:before="20" w:after="20"/>
            </w:pPr>
            <w:r>
              <w:rPr>
                <w:rFonts w:ascii="Times New Roman" w:hAnsi="Times New Roman"/>
                <w:sz w:val="17"/>
              </w:rPr>
            </w:r>
            <w:r>
              <w:rPr>
                <w:rFonts w:ascii="Times New Roman" w:hAnsi="Times New Roman"/>
                <w:sz w:val="17"/>
              </w:rPr>
              <w:t>Full physiological screen rejecting the one significant participant</w:t>
            </w:r>
          </w:p>
        </w:tc>
      </w:tr>
      <w:tr>
        <w:tc>
          <w:tcPr>
            <w:tcW w:type="dxa" w:w="3072"/>
          </w:tcPr>
          <w:p>
            <w:pPr>
              <w:spacing w:before="20" w:after="20"/>
            </w:pPr>
            <w:r>
              <w:rPr>
                <w:rFonts w:ascii="Times New Roman" w:hAnsi="Times New Roman"/>
                <w:sz w:val="17"/>
              </w:rPr>
            </w:r>
            <w:r>
              <w:rPr>
                <w:rFonts w:ascii="Times New Roman" w:hAnsi="Times New Roman"/>
                <w:sz w:val="17"/>
              </w:rPr>
              <w:t>9</w:t>
            </w:r>
          </w:p>
        </w:tc>
        <w:tc>
          <w:tcPr>
            <w:tcW w:type="dxa" w:w="3072"/>
          </w:tcPr>
          <w:p>
            <w:pPr>
              <w:spacing w:before="20" w:after="20"/>
            </w:pPr>
            <w:r>
              <w:rPr>
                <w:rFonts w:ascii="Times New Roman" w:hAnsi="Times New Roman"/>
                <w:sz w:val="17"/>
              </w:rPr>
            </w:r>
            <w:r>
              <w:rPr>
                <w:rFonts w:ascii="Consolas" w:hAnsi="Consolas"/>
                <w:sz w:val="17"/>
              </w:rPr>
              <w:t>fig_manipulation_check.png</w:t>
            </w:r>
          </w:p>
        </w:tc>
        <w:tc>
          <w:tcPr>
            <w:tcW w:type="dxa" w:w="3072"/>
          </w:tcPr>
          <w:p>
            <w:pPr>
              <w:spacing w:before="20" w:after="20"/>
            </w:pPr>
            <w:r>
              <w:rPr>
                <w:rFonts w:ascii="Times New Roman" w:hAnsi="Times New Roman"/>
                <w:sz w:val="17"/>
              </w:rPr>
            </w:r>
            <w:r>
              <w:rPr>
                <w:rFonts w:ascii="Times New Roman" w:hAnsi="Times New Roman"/>
                <w:sz w:val="17"/>
              </w:rPr>
              <w:t>MI versus the visually matched Rest condition</w:t>
            </w:r>
          </w:p>
        </w:tc>
      </w:tr>
      <w:tr>
        <w:tc>
          <w:tcPr>
            <w:tcW w:type="dxa" w:w="3072"/>
          </w:tcPr>
          <w:p>
            <w:pPr>
              <w:spacing w:before="20" w:after="20"/>
            </w:pPr>
            <w:r>
              <w:rPr>
                <w:rFonts w:ascii="Times New Roman" w:hAnsi="Times New Roman"/>
                <w:sz w:val="17"/>
              </w:rPr>
            </w:r>
            <w:r>
              <w:rPr>
                <w:rFonts w:ascii="Times New Roman" w:hAnsi="Times New Roman"/>
                <w:sz w:val="17"/>
              </w:rPr>
              <w:t>10</w:t>
            </w:r>
          </w:p>
        </w:tc>
        <w:tc>
          <w:tcPr>
            <w:tcW w:type="dxa" w:w="3072"/>
          </w:tcPr>
          <w:p>
            <w:pPr>
              <w:spacing w:before="20" w:after="20"/>
            </w:pPr>
            <w:r>
              <w:rPr>
                <w:rFonts w:ascii="Times New Roman" w:hAnsi="Times New Roman"/>
                <w:sz w:val="17"/>
              </w:rPr>
            </w:r>
            <w:r>
              <w:rPr>
                <w:rFonts w:ascii="Consolas" w:hAnsi="Consolas"/>
                <w:sz w:val="17"/>
              </w:rPr>
              <w:t>fig_ceiling_trials.png</w:t>
            </w:r>
            <w:r>
              <w:rPr>
                <w:rFonts w:ascii="Times New Roman" w:hAnsi="Times New Roman"/>
                <w:sz w:val="17"/>
              </w:rPr>
              <w:t xml:space="preserve">, </w:t>
            </w:r>
            <w:r>
              <w:rPr>
                <w:rFonts w:ascii="Consolas" w:hAnsi="Consolas"/>
                <w:sz w:val="17"/>
              </w:rPr>
              <w:t>fig_ceiling_channels.png</w:t>
            </w:r>
          </w:p>
        </w:tc>
        <w:tc>
          <w:tcPr>
            <w:tcW w:type="dxa" w:w="3072"/>
          </w:tcPr>
          <w:p>
            <w:pPr>
              <w:spacing w:before="20" w:after="20"/>
            </w:pPr>
            <w:r>
              <w:rPr>
                <w:rFonts w:ascii="Times New Roman" w:hAnsi="Times New Roman"/>
                <w:sz w:val="17"/>
              </w:rPr>
            </w:r>
            <w:r>
              <w:rPr>
                <w:rFonts w:ascii="Times New Roman" w:hAnsi="Times New Roman"/>
                <w:sz w:val="17"/>
              </w:rPr>
              <w:t>Trial and electrode ceiling curves, full detail</w:t>
            </w:r>
          </w:p>
        </w:tc>
      </w:tr>
      <w:tr>
        <w:tc>
          <w:tcPr>
            <w:tcW w:type="dxa" w:w="3072"/>
          </w:tcPr>
          <w:p>
            <w:pPr>
              <w:spacing w:before="20" w:after="20"/>
            </w:pPr>
            <w:r>
              <w:rPr>
                <w:rFonts w:ascii="Times New Roman" w:hAnsi="Times New Roman"/>
                <w:sz w:val="17"/>
              </w:rPr>
            </w:r>
            <w:r>
              <w:rPr>
                <w:rFonts w:ascii="Times New Roman" w:hAnsi="Times New Roman"/>
                <w:sz w:val="17"/>
              </w:rPr>
              <w:t>11</w:t>
            </w:r>
          </w:p>
        </w:tc>
        <w:tc>
          <w:tcPr>
            <w:tcW w:type="dxa" w:w="3072"/>
          </w:tcPr>
          <w:p>
            <w:pPr>
              <w:spacing w:before="20" w:after="20"/>
            </w:pPr>
            <w:r>
              <w:rPr>
                <w:rFonts w:ascii="Times New Roman" w:hAnsi="Times New Roman"/>
                <w:sz w:val="17"/>
              </w:rPr>
            </w:r>
            <w:r>
              <w:rPr>
                <w:rFonts w:ascii="Consolas" w:hAnsi="Consolas"/>
                <w:sz w:val="17"/>
              </w:rPr>
              <w:t>fig_erd_bands.png</w:t>
            </w:r>
            <w:r>
              <w:rPr>
                <w:rFonts w:ascii="Times New Roman" w:hAnsi="Times New Roman"/>
                <w:sz w:val="17"/>
              </w:rPr>
              <w:t xml:space="preserve">, </w:t>
            </w:r>
            <w:r>
              <w:rPr>
                <w:rFonts w:ascii="Consolas" w:hAnsi="Consolas"/>
                <w:sz w:val="17"/>
              </w:rPr>
              <w:t>fig_erds_grand.png</w:t>
            </w:r>
          </w:p>
        </w:tc>
        <w:tc>
          <w:tcPr>
            <w:tcW w:type="dxa" w:w="3072"/>
          </w:tcPr>
          <w:p>
            <w:pPr>
              <w:spacing w:before="20" w:after="20"/>
            </w:pPr>
            <w:r>
              <w:rPr>
                <w:rFonts w:ascii="Times New Roman" w:hAnsi="Times New Roman"/>
                <w:sz w:val="17"/>
              </w:rPr>
            </w:r>
            <w:r>
              <w:rPr>
                <w:rFonts w:ascii="Times New Roman" w:hAnsi="Times New Roman"/>
                <w:sz w:val="17"/>
              </w:rPr>
              <w:t>ERD/ERS against the pre-trial fixation baseline</w:t>
            </w:r>
          </w:p>
        </w:tc>
      </w:tr>
      <w:tr>
        <w:tc>
          <w:tcPr>
            <w:tcW w:type="dxa" w:w="3072"/>
          </w:tcPr>
          <w:p>
            <w:pPr>
              <w:spacing w:before="20" w:after="20"/>
            </w:pPr>
            <w:r>
              <w:rPr>
                <w:rFonts w:ascii="Times New Roman" w:hAnsi="Times New Roman"/>
                <w:sz w:val="17"/>
              </w:rPr>
            </w:r>
            <w:r>
              <w:rPr>
                <w:rFonts w:ascii="Times New Roman" w:hAnsi="Times New Roman"/>
                <w:sz w:val="17"/>
              </w:rPr>
              <w:t>12</w:t>
            </w:r>
          </w:p>
        </w:tc>
        <w:tc>
          <w:tcPr>
            <w:tcW w:type="dxa" w:w="3072"/>
          </w:tcPr>
          <w:p>
            <w:pPr>
              <w:spacing w:before="20" w:after="20"/>
            </w:pPr>
            <w:r>
              <w:rPr>
                <w:rFonts w:ascii="Times New Roman" w:hAnsi="Times New Roman"/>
                <w:sz w:val="17"/>
              </w:rPr>
            </w:r>
            <w:r>
              <w:rPr>
                <w:rFonts w:ascii="Consolas" w:hAnsi="Consolas"/>
                <w:sz w:val="17"/>
              </w:rPr>
              <w:t>fig_quality.png</w:t>
            </w:r>
          </w:p>
        </w:tc>
        <w:tc>
          <w:tcPr>
            <w:tcW w:type="dxa" w:w="3072"/>
          </w:tcPr>
          <w:p>
            <w:pPr>
              <w:spacing w:before="20" w:after="20"/>
            </w:pPr>
            <w:r>
              <w:rPr>
                <w:rFonts w:ascii="Times New Roman" w:hAnsi="Times New Roman"/>
                <w:sz w:val="17"/>
              </w:rPr>
            </w:r>
            <w:r>
              <w:rPr>
                <w:rFonts w:ascii="Times New Roman" w:hAnsi="Times New Roman"/>
                <w:sz w:val="17"/>
              </w:rPr>
              <w:t>Per-channel amplitude and amplifier saturation</w:t>
            </w:r>
          </w:p>
        </w:tc>
      </w:tr>
      <w:tr>
        <w:tc>
          <w:tcPr>
            <w:tcW w:type="dxa" w:w="3072"/>
          </w:tcPr>
          <w:p>
            <w:pPr>
              <w:spacing w:before="20" w:after="20"/>
            </w:pPr>
            <w:r>
              <w:rPr>
                <w:rFonts w:ascii="Times New Roman" w:hAnsi="Times New Roman"/>
                <w:sz w:val="17"/>
              </w:rPr>
            </w:r>
            <w:r>
              <w:rPr>
                <w:rFonts w:ascii="Times New Roman" w:hAnsi="Times New Roman"/>
                <w:sz w:val="17"/>
              </w:rPr>
              <w:t>13</w:t>
            </w:r>
          </w:p>
        </w:tc>
        <w:tc>
          <w:tcPr>
            <w:tcW w:type="dxa" w:w="3072"/>
          </w:tcPr>
          <w:p>
            <w:pPr>
              <w:spacing w:before="20" w:after="20"/>
            </w:pPr>
            <w:r>
              <w:rPr>
                <w:rFonts w:ascii="Times New Roman" w:hAnsi="Times New Roman"/>
                <w:sz w:val="17"/>
              </w:rPr>
            </w:r>
            <w:r>
              <w:rPr>
                <w:rFonts w:ascii="Consolas" w:hAnsi="Consolas"/>
                <w:sz w:val="17"/>
              </w:rPr>
              <w:t>fig_neuro_criterion.png</w:t>
            </w:r>
          </w:p>
        </w:tc>
        <w:tc>
          <w:tcPr>
            <w:tcW w:type="dxa" w:w="3072"/>
          </w:tcPr>
          <w:p>
            <w:pPr>
              <w:spacing w:before="20" w:after="20"/>
            </w:pPr>
            <w:r>
              <w:rPr>
                <w:rFonts w:ascii="Times New Roman" w:hAnsi="Times New Roman"/>
                <w:sz w:val="17"/>
              </w:rPr>
            </w:r>
            <w:r>
              <w:rPr>
                <w:rFonts w:ascii="Times New Roman" w:hAnsi="Times New Roman"/>
                <w:sz w:val="17"/>
              </w:rPr>
              <w:t>Prespecified physiological criterion versus decodability</w:t>
            </w:r>
          </w:p>
        </w:tc>
      </w:tr>
      <w:tr>
        <w:tc>
          <w:tcPr>
            <w:tcW w:type="dxa" w:w="3072"/>
          </w:tcPr>
          <w:p>
            <w:pPr>
              <w:spacing w:before="20" w:after="20"/>
            </w:pPr>
            <w:r>
              <w:rPr>
                <w:rFonts w:ascii="Times New Roman" w:hAnsi="Times New Roman"/>
                <w:sz w:val="17"/>
              </w:rPr>
            </w:r>
            <w:r>
              <w:rPr>
                <w:rFonts w:ascii="Times New Roman" w:hAnsi="Times New Roman"/>
                <w:sz w:val="17"/>
              </w:rPr>
              <w:t>14</w:t>
            </w:r>
          </w:p>
        </w:tc>
        <w:tc>
          <w:tcPr>
            <w:tcW w:type="dxa" w:w="3072"/>
          </w:tcPr>
          <w:p>
            <w:pPr>
              <w:spacing w:before="20" w:after="20"/>
            </w:pPr>
            <w:r>
              <w:rPr>
                <w:rFonts w:ascii="Times New Roman" w:hAnsi="Times New Roman"/>
                <w:sz w:val="17"/>
              </w:rPr>
            </w:r>
            <w:r>
              <w:rPr>
                <w:rFonts w:ascii="Consolas" w:hAnsi="Consolas"/>
                <w:sz w:val="17"/>
              </w:rPr>
              <w:t>fig_me_positive_control.png</w:t>
            </w:r>
          </w:p>
        </w:tc>
        <w:tc>
          <w:tcPr>
            <w:tcW w:type="dxa" w:w="3072"/>
          </w:tcPr>
          <w:p>
            <w:pPr>
              <w:spacing w:before="20" w:after="20"/>
            </w:pPr>
            <w:r>
              <w:rPr>
                <w:rFonts w:ascii="Times New Roman" w:hAnsi="Times New Roman"/>
                <w:sz w:val="17"/>
              </w:rPr>
            </w:r>
            <w:r>
              <w:rPr>
                <w:rFonts w:ascii="Times New Roman" w:hAnsi="Times New Roman"/>
                <w:sz w:val="17"/>
              </w:rPr>
              <w:t>Motor-execution positive control: is the task-vs-rest change a cortical ERD (negative, band-limited, medial) or muscle (positive, broadband, peripheral)?</w:t>
            </w:r>
          </w:p>
        </w:tc>
      </w:tr>
      <w:tr>
        <w:tc>
          <w:tcPr>
            <w:tcW w:type="dxa" w:w="3072"/>
          </w:tcPr>
          <w:p>
            <w:pPr>
              <w:spacing w:before="20" w:after="20"/>
            </w:pPr>
            <w:r>
              <w:rPr>
                <w:rFonts w:ascii="Times New Roman" w:hAnsi="Times New Roman"/>
                <w:sz w:val="17"/>
              </w:rPr>
            </w:r>
            <w:r>
              <w:rPr>
                <w:rFonts w:ascii="Times New Roman" w:hAnsi="Times New Roman"/>
                <w:sz w:val="17"/>
              </w:rPr>
              <w:t>15b</w:t>
            </w:r>
          </w:p>
        </w:tc>
        <w:tc>
          <w:tcPr>
            <w:tcW w:type="dxa" w:w="3072"/>
          </w:tcPr>
          <w:p>
            <w:pPr>
              <w:spacing w:before="20" w:after="20"/>
            </w:pPr>
            <w:r>
              <w:rPr>
                <w:rFonts w:ascii="Times New Roman" w:hAnsi="Times New Roman"/>
                <w:sz w:val="17"/>
              </w:rPr>
            </w:r>
            <w:r>
              <w:rPr>
                <w:rFonts w:ascii="Consolas" w:hAnsi="Consolas"/>
                <w:sz w:val="17"/>
              </w:rPr>
              <w:t>fig_emg_removal.png</w:t>
            </w:r>
          </w:p>
        </w:tc>
        <w:tc>
          <w:tcPr>
            <w:tcW w:type="dxa" w:w="3072"/>
          </w:tcPr>
          <w:p>
            <w:pPr>
              <w:spacing w:before="20" w:after="20"/>
            </w:pPr>
            <w:r>
              <w:rPr>
                <w:rFonts w:ascii="Times New Roman" w:hAnsi="Times New Roman"/>
                <w:sz w:val="17"/>
              </w:rPr>
            </w:r>
            <w:r>
              <w:rPr>
                <w:rFonts w:ascii="Times New Roman" w:hAnsi="Times New Roman"/>
                <w:sz w:val="17"/>
              </w:rPr>
              <w:t>Effect of EMG removal by nuisance regression and BSS-CCA on all three contrasts</w:t>
            </w:r>
          </w:p>
        </w:tc>
      </w:tr>
      <w:tr>
        <w:tc>
          <w:tcPr>
            <w:tcW w:type="dxa" w:w="3072"/>
          </w:tcPr>
          <w:p>
            <w:pPr>
              <w:spacing w:before="20" w:after="20"/>
            </w:pPr>
            <w:r>
              <w:rPr>
                <w:rFonts w:ascii="Times New Roman" w:hAnsi="Times New Roman"/>
                <w:sz w:val="17"/>
              </w:rPr>
            </w:r>
            <w:r>
              <w:rPr>
                <w:rFonts w:ascii="Times New Roman" w:hAnsi="Times New Roman"/>
                <w:sz w:val="17"/>
              </w:rPr>
              <w:t>15</w:t>
            </w:r>
          </w:p>
        </w:tc>
        <w:tc>
          <w:tcPr>
            <w:tcW w:type="dxa" w:w="3072"/>
          </w:tcPr>
          <w:p>
            <w:pPr>
              <w:spacing w:before="20" w:after="20"/>
            </w:pPr>
            <w:r>
              <w:rPr>
                <w:rFonts w:ascii="Times New Roman" w:hAnsi="Times New Roman"/>
                <w:sz w:val="17"/>
              </w:rPr>
            </w:r>
            <w:r>
              <w:rPr>
                <w:rFonts w:ascii="Consolas" w:hAnsi="Consolas"/>
                <w:sz w:val="17"/>
              </w:rPr>
              <w:t>fig_me_discriminate.png</w:t>
            </w:r>
          </w:p>
        </w:tc>
        <w:tc>
          <w:tcPr>
            <w:tcW w:type="dxa" w:w="3072"/>
          </w:tcPr>
          <w:p>
            <w:pPr>
              <w:spacing w:before="20" w:after="20"/>
            </w:pPr>
            <w:r>
              <w:rPr>
                <w:rFonts w:ascii="Times New Roman" w:hAnsi="Times New Roman"/>
                <w:sz w:val="17"/>
              </w:rPr>
            </w:r>
            <w:r>
              <w:rPr>
                <w:rFonts w:ascii="Times New Roman" w:hAnsi="Times New Roman"/>
                <w:sz w:val="17"/>
              </w:rPr>
              <w:t xml:space="preserve">The three discriminating tests — spectral shape, post-movement beta rebound, and separability of two </w:t>
            </w:r>
            <w:r>
              <w:rPr>
                <w:rFonts w:ascii="Times New Roman" w:hAnsi="Times New Roman"/>
                <w:i/>
                <w:sz w:val="17"/>
              </w:rPr>
              <w:t>executed</w:t>
            </w:r>
            <w:r>
              <w:rPr>
                <w:rFonts w:ascii="Times New Roman" w:hAnsi="Times New Roman"/>
                <w:sz w:val="17"/>
              </w:rPr>
              <w:t xml:space="preserve"> movements</w:t>
            </w:r>
          </w:p>
        </w:tc>
      </w:tr>
      <w:tr>
        <w:tc>
          <w:tcPr>
            <w:tcW w:type="dxa" w:w="3072"/>
          </w:tcPr>
          <w:p>
            <w:pPr>
              <w:spacing w:before="20" w:after="20"/>
            </w:pPr>
            <w:r>
              <w:rPr>
                <w:rFonts w:ascii="Times New Roman" w:hAnsi="Times New Roman"/>
                <w:sz w:val="17"/>
              </w:rPr>
            </w:r>
            <w:r>
              <w:rPr>
                <w:rFonts w:ascii="Times New Roman" w:hAnsi="Times New Roman"/>
                <w:sz w:val="17"/>
              </w:rPr>
              <w:t>16</w:t>
            </w:r>
          </w:p>
        </w:tc>
        <w:tc>
          <w:tcPr>
            <w:tcW w:type="dxa" w:w="3072"/>
          </w:tcPr>
          <w:p>
            <w:pPr>
              <w:spacing w:before="20" w:after="20"/>
            </w:pPr>
            <w:r>
              <w:rPr>
                <w:rFonts w:ascii="Times New Roman" w:hAnsi="Times New Roman"/>
                <w:sz w:val="17"/>
              </w:rPr>
            </w:r>
            <w:r>
              <w:rPr>
                <w:rFonts w:ascii="Consolas" w:hAnsi="Consolas"/>
                <w:sz w:val="17"/>
              </w:rPr>
              <w:t>fig_hardware_spectrum.png</w:t>
            </w:r>
          </w:p>
        </w:tc>
        <w:tc>
          <w:tcPr>
            <w:tcW w:type="dxa" w:w="3072"/>
          </w:tcPr>
          <w:p>
            <w:pPr>
              <w:spacing w:before="20" w:after="20"/>
            </w:pPr>
            <w:r>
              <w:rPr>
                <w:rFonts w:ascii="Times New Roman" w:hAnsi="Times New Roman"/>
                <w:sz w:val="17"/>
              </w:rPr>
            </w:r>
            <w:r>
              <w:rPr>
                <w:rFonts w:ascii="Times New Roman" w:hAnsi="Times New Roman"/>
                <w:sz w:val="17"/>
              </w:rPr>
              <w:t>Unfiltered spectrum of all ten recordings to Nyquist: the 60 Hz mains line motivating the notch, and the slope change near 40 Hz identifying the amplifier's analogue low-pass</w:t>
            </w:r>
          </w:p>
        </w:tc>
      </w:tr>
      <w:tr>
        <w:tc>
          <w:tcPr>
            <w:tcW w:type="dxa" w:w="3072"/>
          </w:tcPr>
          <w:p>
            <w:pPr>
              <w:spacing w:before="20" w:after="20"/>
            </w:pPr>
            <w:r>
              <w:rPr>
                <w:rFonts w:ascii="Times New Roman" w:hAnsi="Times New Roman"/>
                <w:sz w:val="17"/>
              </w:rPr>
            </w:r>
            <w:r>
              <w:rPr>
                <w:rFonts w:ascii="Times New Roman" w:hAnsi="Times New Roman"/>
                <w:sz w:val="17"/>
              </w:rPr>
              <w:t>17</w:t>
            </w:r>
          </w:p>
        </w:tc>
        <w:tc>
          <w:tcPr>
            <w:tcW w:type="dxa" w:w="3072"/>
          </w:tcPr>
          <w:p>
            <w:pPr>
              <w:spacing w:before="20" w:after="20"/>
            </w:pPr>
            <w:r>
              <w:rPr>
                <w:rFonts w:ascii="Times New Roman" w:hAnsi="Times New Roman"/>
                <w:sz w:val="17"/>
              </w:rPr>
            </w:r>
            <w:r>
              <w:rPr>
                <w:rFonts w:ascii="Consolas" w:hAnsi="Consolas"/>
                <w:sz w:val="17"/>
              </w:rPr>
              <w:t>fig_peak_locked.png</w:t>
            </w:r>
          </w:p>
        </w:tc>
        <w:tc>
          <w:tcPr>
            <w:tcW w:type="dxa" w:w="3072"/>
          </w:tcPr>
          <w:p>
            <w:pPr>
              <w:spacing w:before="20" w:after="20"/>
            </w:pPr>
            <w:r>
              <w:rPr>
                <w:rFonts w:ascii="Times New Roman" w:hAnsi="Times New Roman"/>
                <w:sz w:val="17"/>
              </w:rPr>
            </w:r>
            <w:r>
              <w:rPr>
                <w:rFonts w:ascii="Times New Roman" w:hAnsi="Times New Roman"/>
                <w:sz w:val="17"/>
              </w:rPr>
              <w:t>Exploratory (§III-J): peak-locked laterality, topography and decoding</w:t>
            </w:r>
          </w:p>
        </w:tc>
      </w:tr>
      <w:tr>
        <w:tc>
          <w:tcPr>
            <w:tcW w:type="dxa" w:w="3072"/>
          </w:tcPr>
          <w:p>
            <w:pPr>
              <w:spacing w:before="20" w:after="20"/>
            </w:pPr>
            <w:r>
              <w:rPr>
                <w:rFonts w:ascii="Times New Roman" w:hAnsi="Times New Roman"/>
                <w:sz w:val="17"/>
              </w:rPr>
            </w:r>
            <w:r>
              <w:rPr>
                <w:rFonts w:ascii="Times New Roman" w:hAnsi="Times New Roman"/>
                <w:sz w:val="17"/>
              </w:rPr>
              <w:t>18</w:t>
            </w:r>
          </w:p>
        </w:tc>
        <w:tc>
          <w:tcPr>
            <w:tcW w:type="dxa" w:w="3072"/>
          </w:tcPr>
          <w:p>
            <w:pPr>
              <w:spacing w:before="20" w:after="20"/>
            </w:pPr>
            <w:r>
              <w:rPr>
                <w:rFonts w:ascii="Times New Roman" w:hAnsi="Times New Roman"/>
                <w:sz w:val="17"/>
              </w:rPr>
            </w:r>
            <w:r>
              <w:rPr>
                <w:rFonts w:ascii="Consolas" w:hAnsi="Consolas"/>
                <w:sz w:val="17"/>
              </w:rPr>
              <w:t>fig_p1b_robustness.png</w:t>
            </w:r>
          </w:p>
        </w:tc>
        <w:tc>
          <w:tcPr>
            <w:tcW w:type="dxa" w:w="3072"/>
          </w:tcPr>
          <w:p>
            <w:pPr>
              <w:spacing w:before="20" w:after="20"/>
            </w:pPr>
            <w:r>
              <w:rPr>
                <w:rFonts w:ascii="Times New Roman" w:hAnsi="Times New Roman"/>
                <w:sz w:val="17"/>
              </w:rPr>
            </w:r>
            <w:r>
              <w:rPr>
                <w:rFonts w:ascii="Times New Roman" w:hAnsi="Times New Roman"/>
                <w:sz w:val="17"/>
              </w:rPr>
              <w:t>Exploratory (§III-J): electrode-pair replication and jackknife</w:t>
            </w:r>
          </w:p>
        </w:tc>
      </w:tr>
    </w:tbl>
    <w:p/>
    <w:p>
      <w:pPr>
        <w:jc w:val="both"/>
      </w:pPr>
      <w:r>
        <w:rPr/>
        <w:t>For a four-page-limited submission, Figs. 1–3 alone carry the argument; Figs. 4–18 are supplementary.</w:t>
      </w:r>
    </w:p>
    <w:p>
      <w:pPr>
        <w:pStyle w:val="Heading2"/>
        <w:spacing w:before="280" w:after="80"/>
      </w:pPr>
      <w:r>
        <w:rPr>
          <w:rFonts w:ascii="Times New Roman" w:hAnsi="Times New Roman"/>
          <w:color w:val="1F2328"/>
          <w:sz w:val="28"/>
        </w:rPr>
        <w:t>References</w:t>
      </w:r>
    </w:p>
    <w:p>
      <w:pPr>
        <w:jc w:val="both"/>
      </w:pPr>
      <w:r>
        <w:rPr/>
        <w:t xml:space="preserve">[1] R. Ma, Y.-F. Chen, Y.-C. Jiang, and M. Zhang, "A new compound-limbs paradigm: Integrating upper-limb swing improves lower-limb stepping intention decoding from EEG," </w:t>
      </w:r>
      <w:r>
        <w:rPr>
          <w:i/>
        </w:rPr>
        <w:t>IEEE Trans. Neural Syst. Rehabil. Eng.</w:t>
      </w:r>
      <w:r>
        <w:rPr/>
        <w:t>, vol. 31, pp. 3823–3834, 2023, doi: 10.1109/TNSRE.2023.3315717.</w:t>
      </w:r>
    </w:p>
    <w:p>
      <w:pPr>
        <w:jc w:val="both"/>
      </w:pPr>
      <w:r>
        <w:rPr/>
        <w:t xml:space="preserve">[2] J. Perelmouter and N. Birbaumer, "A binary spelling interface with random errors," </w:t>
      </w:r>
      <w:r>
        <w:rPr>
          <w:i/>
        </w:rPr>
        <w:t>IEEE Trans. Rehabil. Eng.</w:t>
      </w:r>
      <w:r>
        <w:rPr/>
        <w:t>, vol. 8, no. 2, pp. 227–232, 2000, doi: 10.1109/86.847824.</w:t>
      </w:r>
    </w:p>
    <w:p>
      <w:pPr>
        <w:jc w:val="both"/>
      </w:pPr>
      <w:r>
        <w:rPr/>
        <w:t xml:space="preserve">[3] F. Nijboer, A. Furdea, I. Gunst, J. Mellinger, D. J. McFarland, N. Birbaumer, and A. Kübler, "An auditory brain–computer interface (BCI)," </w:t>
      </w:r>
      <w:r>
        <w:rPr>
          <w:i/>
        </w:rPr>
        <w:t>J. Neurosci. Methods</w:t>
      </w:r>
      <w:r>
        <w:rPr/>
        <w:t>, vol. 167, no. 1, pp. 43–50, 2008, doi: 10.1016/j.jneumeth.2007.02.009.</w:t>
      </w:r>
    </w:p>
    <w:p>
      <w:pPr>
        <w:jc w:val="both"/>
      </w:pPr>
      <w:r>
        <w:rPr/>
        <w:t xml:space="preserve">[4] G. Pfurtscheller and F. H. Lopes da Silva, "Event-related EEG/MEG synchronization and desynchronization: basic principles," </w:t>
      </w:r>
      <w:r>
        <w:rPr>
          <w:i/>
        </w:rPr>
        <w:t>Clin. Neurophysiol.</w:t>
      </w:r>
      <w:r>
        <w:rPr/>
        <w:t>, vol. 110, no. 11, pp. 1842–1857, 1999, doi: 10.1016/S1388-2457(99)00141-8.</w:t>
      </w:r>
    </w:p>
    <w:p>
      <w:pPr>
        <w:jc w:val="both"/>
      </w:pPr>
      <w:r>
        <w:rPr/>
        <w:t xml:space="preserve">[5] K. K. Ang, Z. Y. Chin, C. Wang, C. Guan, and H. Zhang, "Filter bank common spatial pattern algorithm on BCI Competition IV Datasets 2a and 2b," </w:t>
      </w:r>
      <w:r>
        <w:rPr>
          <w:i/>
        </w:rPr>
        <w:t>Front. Neurosci.</w:t>
      </w:r>
      <w:r>
        <w:rPr/>
        <w:t>, vol. 6, art. 39, 2012, doi: 10.3389/fnins.2012.00039.</w:t>
      </w:r>
    </w:p>
    <w:p>
      <w:pPr>
        <w:jc w:val="both"/>
      </w:pPr>
      <w:r>
        <w:rPr/>
        <w:t xml:space="preserve">[6] A. Barachant, S. Bonnet, M. Congedo, and C. Jutten, "Multiclass brain–computer interface classification by Riemannian geometry," </w:t>
      </w:r>
      <w:r>
        <w:rPr>
          <w:i/>
        </w:rPr>
        <w:t>IEEE Trans. Biomed. Eng.</w:t>
      </w:r>
      <w:r>
        <w:rPr/>
        <w:t>, vol. 59, no. 4, pp. 920–928, 2012, doi: 10.1109/TBME.2011.2172210.</w:t>
      </w:r>
    </w:p>
    <w:p>
      <w:pPr>
        <w:jc w:val="both"/>
      </w:pPr>
      <w:r>
        <w:rPr/>
        <w:t xml:space="preserve">[7] V. J. Lawhern, A. J. Solon, N. R. Waytowich, S. M. Gordon, C. P. Hung, and B. J. Lance, "EEGNet: a compact convolutional neural network for EEG-based brain–computer interfaces," </w:t>
      </w:r>
      <w:r>
        <w:rPr>
          <w:i/>
        </w:rPr>
        <w:t>J. Neural Eng.</w:t>
      </w:r>
      <w:r>
        <w:rPr/>
        <w:t>, vol. 15, no. 5, p. 056013, 2018, doi: 10.1088/1741-2552/aace8c.</w:t>
      </w:r>
    </w:p>
    <w:p>
      <w:pPr>
        <w:jc w:val="both"/>
      </w:pPr>
      <w:r>
        <w:rPr/>
        <w:t xml:space="preserve">[8] C. Nadeau and Y. Bengio, "Inference for the generalization error," </w:t>
      </w:r>
      <w:r>
        <w:rPr>
          <w:i/>
        </w:rPr>
        <w:t>Mach. Learn.</w:t>
      </w:r>
      <w:r>
        <w:rPr/>
        <w:t>, vol. 52, no. 3, pp. 239–281, 2003, doi: 10.1023/A:1024068626366.</w:t>
      </w:r>
    </w:p>
    <w:p>
      <w:pPr>
        <w:jc w:val="both"/>
      </w:pPr>
      <w:r>
        <w:rPr/>
        <w:t xml:space="preserve">[9] I. I. Goncharova, D. J. McFarland, T. M. Vaughan, and J. R. Wolpaw, "EMG contamination of EEG: spectral and topographical characteristics," </w:t>
      </w:r>
      <w:r>
        <w:rPr>
          <w:i/>
        </w:rPr>
        <w:t>Clin. Neurophysiol.</w:t>
      </w:r>
      <w:r>
        <w:rPr/>
        <w:t>, vol. 114, no. 9, pp. 1580–1593, 2003, doi: 10.1016/S1388-2457(03)00093-2.</w:t>
      </w:r>
    </w:p>
    <w:p>
      <w:pPr>
        <w:jc w:val="both"/>
      </w:pPr>
      <w:r>
        <w:rPr/>
        <w:t xml:space="preserve">[10] R. T. Schirrmeister </w:t>
      </w:r>
      <w:r>
        <w:rPr>
          <w:i/>
        </w:rPr>
        <w:t>et al.</w:t>
      </w:r>
      <w:r>
        <w:rPr/>
        <w:t xml:space="preserve">, "Deep learning with convolutional neural networks for EEG decoding and visualization," </w:t>
      </w:r>
      <w:r>
        <w:rPr>
          <w:i/>
        </w:rPr>
        <w:t>Hum. Brain Mapp.</w:t>
      </w:r>
      <w:r>
        <w:rPr/>
        <w:t>, vol. 38, no. 11, pp. 5391–5420, 2017, doi: 10.1002/hbm.23730.</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