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</w:pPr>
      <w:r>
        <w:t>지속가능한 도시의 요소</w:t>
      </w:r>
    </w:p>
    <w:p>
      <w:pPr>
        <w:pBdr>
          <w:bottom w:val="single" w:sz="6" w:space="6" w:color="2E6B4F"/>
        </w:pBdr>
        <w:spacing w:after="0" w:lineRule="atLeast"/>
        <w:rPr>
          <w:lang w:eastAsia="ko-KR"/>
          <w:rFonts w:hint="eastAsia"/>
          <w:color w:val="555555"/>
          <w:sz w:val="20"/>
          <w:szCs w:val="20"/>
          <w:rtl w:val="off"/>
        </w:rPr>
      </w:pPr>
      <w:r>
        <w:rPr>
          <w:color w:val="555555"/>
          <w:sz w:val="20"/>
          <w:szCs w:val="20"/>
        </w:rPr>
        <w:t>친환경도시계획 · 4강</w:t>
      </w:r>
    </w:p>
    <w:p>
      <w:pPr>
        <w:pBdr>
          <w:bottom w:val="single" w:sz="6" w:space="6" w:color="2E6B4F"/>
        </w:pBdr>
        <w:spacing w:after="0" w:lineRule="atLeast"/>
      </w:pPr>
      <w:r>
        <w:rPr>
          <w:lang w:eastAsia="ko-KR"/>
          <w:color w:val="555555"/>
          <w:sz w:val="20"/>
          <w:szCs w:val="20"/>
          <w:rtl w:val="off"/>
        </w:rPr>
        <w:t>2022035019 신준수</w:t>
      </w:r>
    </w:p>
    <w:p>
      <w:pPr>
        <w:pStyle w:val="Heading1"/>
        <w:spacing w:after="140" w:before="320"/>
      </w:pPr>
      <w:r>
        <w:t>1. 걷기·자전거·대중교통 중심의 이동 체계</w:t>
      </w:r>
    </w:p>
    <w:p>
      <w:pPr>
        <w:pStyle w:val="af1"/>
        <w:numPr>
          <w:ilvl w:val="0"/>
          <w:numId w:val="1"/>
        </w:numPr>
        <w:spacing w:after="80" w:line="320"/>
      </w:pPr>
      <w:r>
        <w:t>결론으로 걷기·자전거·대중교통을 지속가능한 도시의 핵심 요소로 꼽는다.</w:t>
      </w:r>
      <w:r>
        <w:rPr>
          <w:color w:val="777777"/>
          <w:sz w:val="18"/>
          <w:szCs w:val="18"/>
        </w:rPr>
        <w:t xml:space="preserve"> </w:t>
      </w:r>
    </w:p>
    <w:p>
      <w:pPr>
        <w:pStyle w:val="af1"/>
        <w:numPr>
          <w:ilvl w:val="0"/>
          <w:numId w:val="1"/>
        </w:numPr>
        <w:spacing w:after="80" w:line="320"/>
      </w:pPr>
      <w:r>
        <w:t>더 나은 도시를 위한 7원칙 중 walk(직접 걸어서 닿는 길), bike, ride(질 높은 대중교통), connect(밀도 높이기), focus(밀도·혼합을 대중교통 수용력에 맞추기)가 여기에 해당한다.</w:t>
      </w:r>
    </w:p>
    <w:p>
      <w:pPr>
        <w:pStyle w:val="af1"/>
        <w:numPr>
          <w:ilvl w:val="0"/>
          <w:numId w:val="1"/>
        </w:numPr>
        <w:spacing w:after="80" w:line="320"/>
      </w:pPr>
      <w:r>
        <w:t>혼잡통행료 부과가 같은 방향의 수단으로</w:t>
      </w:r>
      <w:r>
        <w:rPr>
          <w:lang w:eastAsia="ko-KR"/>
          <w:rtl w:val="off"/>
        </w:rPr>
        <w:t>써 필요하다.</w:t>
      </w:r>
    </w:p>
    <w:p>
      <w:pPr>
        <w:pStyle w:val="Heading1"/>
        <w:spacing w:after="140" w:before="320"/>
      </w:pPr>
      <w:r>
        <w:t>2. 자원 사용과 도시 팽창 줄이기 (생태발자국 축소)</w:t>
      </w:r>
    </w:p>
    <w:p>
      <w:pPr>
        <w:pStyle w:val="af1"/>
        <w:numPr>
          <w:ilvl w:val="0"/>
          <w:numId w:val="1"/>
        </w:numPr>
        <w:spacing w:after="80" w:line="320"/>
      </w:pPr>
      <w:r>
        <w:t>자연·인적·경제 자원의 부족 때문에 지배적인 성장 패러다임을 뒤집어야 하고, 그래서 도시의 생태발자국을 줄이는 것이 중요하다.</w:t>
      </w:r>
    </w:p>
    <w:p>
      <w:pPr>
        <w:pStyle w:val="af1"/>
        <w:numPr>
          <w:ilvl w:val="0"/>
          <w:numId w:val="1"/>
        </w:numPr>
        <w:spacing w:after="80" w:line="320"/>
      </w:pPr>
      <w:r>
        <w:t xml:space="preserve">실천 방안은 '도시 비만'을 되돌리는 계획, 곧 스프롤 축소와 자원 사용 최소화이며, 오염자 부담·혼잡통행료 같은 가격 수단이 함께 </w:t>
      </w:r>
      <w:r>
        <w:rPr>
          <w:lang w:eastAsia="ko-KR"/>
          <w:rtl w:val="off"/>
        </w:rPr>
        <w:t>수반된다.</w:t>
      </w:r>
    </w:p>
    <w:p>
      <w:pPr>
        <w:pStyle w:val="af1"/>
        <w:numPr>
          <w:ilvl w:val="0"/>
          <w:numId w:val="1"/>
        </w:numPr>
        <w:spacing w:after="80" w:line="320"/>
      </w:pPr>
      <w:r>
        <w:t>7원칙의 preserve(자연·역사 환경 보전)도 같은 맥락이다.</w:t>
      </w:r>
      <w:r>
        <w:rPr>
          <w:color w:val="777777"/>
          <w:sz w:val="18"/>
          <w:szCs w:val="18"/>
        </w:rPr>
        <w:t xml:space="preserve"> </w:t>
      </w:r>
    </w:p>
    <w:p>
      <w:pPr>
        <w:pStyle w:val="Heading1"/>
        <w:spacing w:after="140" w:before="320"/>
      </w:pPr>
      <w:r>
        <w:t>3. 사회·경제·환경의 균형과 세대 간 형평</w:t>
      </w:r>
    </w:p>
    <w:p>
      <w:pPr>
        <w:pStyle w:val="af1"/>
        <w:numPr>
          <w:ilvl w:val="0"/>
          <w:numId w:val="1"/>
        </w:numPr>
        <w:spacing w:after="80" w:line="320"/>
      </w:pPr>
      <w:r>
        <w:t>도시의 건강을 점검하는 기준으로 사회·경제·환경의 세 차원을 들고, 이를 통해 지속가능한 공동체에 이른다고 본다. 사회·경제 차원에는 세대 간 형평이 붙어 있다.</w:t>
      </w:r>
    </w:p>
    <w:p>
      <w:pPr>
        <w:pStyle w:val="af1"/>
        <w:numPr>
          <w:ilvl w:val="0"/>
          <w:numId w:val="1"/>
        </w:numPr>
        <w:spacing w:after="80" w:line="320"/>
      </w:pPr>
      <w:r>
        <w:t>7원칙의 mix(소득·연령·토지이용의 혼합)는 사회적 차원을 공간으로 구현한 원칙이다.</w:t>
      </w:r>
    </w:p>
    <w:p>
      <w:pPr>
        <w:pStyle w:val="af1"/>
        <w:numPr>
          <w:ilvl w:val="0"/>
          <w:numId w:val="1"/>
        </w:numPr>
        <w:spacing w:after="80" w:line="320"/>
      </w:pPr>
      <w:r>
        <w:t>이를 뒷받침하는 방법으로 근거를 읽고 행동하기, 스마트한 측정·평가 체계 만들기가 나오며, 밑바탕에 '예방적 접근'이 깔려 있다.</w:t>
      </w:r>
    </w:p>
    <w:sectPr>
      <w:pgSz w:w="11906" w:h="16838"/>
      <w:pgMar w:top="1440" w:right="1300" w:bottom="1440" w:left="13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  <w:pPrDefault>
      <w:pPr/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styleId="EndnoteTextChar">
    <w:name w:val="Endnote Text Char"/>
    <w:basedOn w:val="a1"/>
    <w:link w:val="endnote text"/>
    <w:semiHidden/>
    <w:unhideWhenUsed/>
    <w:rPr>
      <w:sz w:val="20"/>
      <w:szCs w:val="20"/>
    </w:rPr>
  </w:style>
  <w:style w:type="character" w:styleId="FootnoteTextChar">
    <w:name w:val="Footnote Text Char"/>
    <w:basedOn w:val="a1"/>
    <w:link w:val="footnote text"/>
    <w:semiHidden/>
    <w:unhideWhenUsed/>
    <w:rPr>
      <w:sz w:val="20"/>
      <w:szCs w:val="20"/>
    </w:rPr>
  </w:style>
  <w:style w:type="paragraph" w:styleId="ab">
    <w:name w:val="Strong"/>
    <w:basedOn w:val="a1"/>
    <w:next w:val="a1"/>
    <w:qFormat/>
    <w:rPr>
      <w:b/>
      <w:bCs/>
    </w:rPr>
  </w:style>
  <w:style w:type="paragraph" w:styleId="a6">
    <w:name w:val="Title"/>
    <w:basedOn w:val="a1"/>
    <w:pPr>
      <w:spacing w:after="100"/>
    </w:pPr>
    <w:rPr>
      <w:rFonts w:ascii="맑은 고딕" w:eastAsia="맑은 고딕" w:hAnsi="맑은 고딕" w:cs="맑은 고딕"/>
      <w:b/>
      <w:bCs/>
      <w:color w:val="1F4E3D"/>
      <w:sz w:val="36"/>
      <w:szCs w:val="36"/>
    </w:rPr>
  </w:style>
  <w:style w:type="paragraph" w:styleId="af1">
    <w:name w:val="List Paragraph"/>
    <w:basedOn w:val="a1"/>
    <w:qFormat/>
  </w:style>
  <w:style w:type="paragraph" w:styleId="af4">
    <w:name w:val="footnote text"/>
    <w:basedOn w:val="a1"/>
    <w:link w:val="Foot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f5">
    <w:name w:val="footnote reference"/>
    <w:basedOn w:val="a1"/>
    <w:semiHidden/>
    <w:unhideWhenUsed/>
    <w:rPr>
      <w:vertAlign w:val="superscript"/>
    </w:rPr>
  </w:style>
  <w:style w:type="character" w:styleId="aff6">
    <w:name w:val="endnote reference"/>
    <w:basedOn w:val="a1"/>
    <w:semiHidden/>
    <w:unhideWhenUsed/>
    <w:rPr>
      <w:vertAlign w:val="superscript"/>
    </w:rPr>
  </w:style>
  <w:style w:type="paragraph" w:styleId="aff7">
    <w:name w:val="endnote text"/>
    <w:basedOn w:val="a1"/>
    <w:link w:val="End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fffa">
    <w:name w:val="Hyperlink"/>
    <w:basedOn w:val="a1"/>
    <w:unhideWhenUsed/>
    <w:rPr>
      <w:color w:val="0563C1"/>
      <w:u w:val="single" w:color="auto"/>
    </w:rPr>
  </w:style>
  <w:style w:type="paragraph" w:styleId="Heading1">
    <w:name w:val="Heading 1"/>
    <w:basedOn w:val="a1"/>
    <w:next w:val="a1"/>
    <w:qFormat/>
    <w:pPr>
      <w:outlineLvl w:val="0"/>
    </w:pPr>
    <w:rPr>
      <w:rFonts w:ascii="맑은 고딕" w:eastAsia="맑은 고딕" w:hAnsi="맑은 고딕" w:cs="맑은 고딕"/>
      <w:b/>
      <w:bCs/>
      <w:color w:val="2E6B4F"/>
      <w:sz w:val="26"/>
      <w:szCs w:val="26"/>
    </w:rPr>
  </w:style>
  <w:style w:type="paragraph" w:styleId="Heading4">
    <w:name w:val="Heading 4"/>
    <w:basedOn w:val="a1"/>
    <w:next w:val="a1"/>
    <w:qFormat/>
    <w:rPr>
      <w:i/>
      <w:iCs/>
      <w:color w:val="2E74B5"/>
    </w:rPr>
  </w:style>
  <w:style w:type="paragraph" w:styleId="Heading6">
    <w:name w:val="Heading 6"/>
    <w:basedOn w:val="a1"/>
    <w:next w:val="a1"/>
    <w:qFormat/>
    <w:rPr>
      <w:color w:val="1F4D78"/>
    </w:rPr>
  </w:style>
  <w:style w:type="paragraph" w:styleId="Heading2">
    <w:name w:val="Heading 2"/>
    <w:basedOn w:val="a1"/>
    <w:next w:val="a1"/>
    <w:qFormat/>
    <w:rPr>
      <w:color w:val="2E74B5"/>
      <w:sz w:val="26"/>
      <w:szCs w:val="26"/>
    </w:rPr>
  </w:style>
  <w:style w:type="paragraph" w:styleId="Heading3">
    <w:name w:val="Heading 3"/>
    <w:basedOn w:val="a1"/>
    <w:next w:val="a1"/>
    <w:qFormat/>
    <w:rPr>
      <w:color w:val="1F4D78"/>
      <w:sz w:val="24"/>
      <w:szCs w:val="24"/>
    </w:rPr>
  </w:style>
  <w:style w:type="paragraph" w:styleId="Heading5">
    <w:name w:val="Heading 5"/>
    <w:basedOn w:val="a1"/>
    <w:next w:val="a1"/>
    <w:qFormat/>
    <w:rPr>
      <w:color w:val="2E74B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Un-named</cp:lastModifiedBy>
  <cp:revision>1</cp:revision>
  <dcterms:modified xsi:type="dcterms:W3CDTF">2026-09-27T08:16:41Z</dcterms:modified>
  <cp:version>0900.0001.01</cp:version>
</cp:coreProperties>
</file>