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r>
        <w:rPr>
          <w:rFonts w:ascii="Helvetica Neue" w:hAnsi="Helvetica Neue"/>
          <w:b/>
          <w:color w:val="000000"/>
          <w:sz w:val="54"/>
        </w:rPr>
        <w:t>CobroMaster | Reporte de descubrimiento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rFonts w:ascii="Helvetica Neue" w:hAnsi="Helvetica Neue"/>
                <w:b w:val="0"/>
                <w:sz w:val="19"/>
              </w:rPr>
              <w:t>Auditoría funcional, técnica y arquitectónica del MVP.</w:t>
              <w:br/>
              <w:t>Decisiones necesarias antes de reconstruir el producto.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rFonts w:ascii="Helvetica Neue" w:hAnsi="Helvetica Neue"/>
                <w:b w:val="0"/>
                <w:sz w:val="19"/>
              </w:rPr>
              <w:t>Preparado para el cliente</w:t>
              <w:br/>
              <w:t>Julio de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placeholders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bookmarkStart w:colFirst="0" w:colLast="0" w:name="bookmark=id.1sqjewf8afxt" w:id="2"/>
    <w:bookmarkEnd w:id="2"/>
    <w:bookmarkStart w:colFirst="0" w:colLast="0" w:name="bookmark=id.4t4jj91ycfx" w:id="3"/>
    <w:bookmarkEnd w:id="3"/>
    <w:bookmarkStart w:colFirst="0" w:colLast="0" w:name="bookmark=id.xx7bxdemqiq" w:id="4"/>
    <w:bookmarkEnd w:id="4"/>
    <w:bookmarkStart w:colFirst="0" w:colLast="0" w:name="bookmark=id.suv0vlq0gz4r" w:id="5"/>
    <w:bookmarkEnd w:id="5"/>
    <w:bookmarkStart w:colFirst="0" w:colLast="0" w:name="bookmark=id.vvr4bduzzdc0" w:id="6"/>
    <w:bookmarkEnd w:id="6"/>
    <w:bookmarkStart w:colFirst="0" w:colLast="0" w:name="bookmark=id.rl3o3rp5qmnq" w:id="7"/>
    <w:bookmarkEnd w:id="7"/>
    <w:bookmarkStart w:colFirst="0" w:colLast="0" w:name="bookmark=id.cf45595vup8a" w:id="8"/>
    <w:bookmarkEnd w:id="8"/>
    <w:bookmarkStart w:colFirst="0" w:colLast="0" w:name="bookmark=id.ptrg31dozyqs" w:id="9"/>
    <w:bookmarkEnd w:id="9"/>
    <w:bookmarkStart w:colFirst="0" w:colLast="0" w:name="bookmark=id.nnk1eebni0ji" w:id="10"/>
    <w:bookmarkEnd w:id="10"/>
    <w:p>
      <w:r>
        <w:br w:type="page"/>
      </w:r>
    </w:p>
    <w:p>
      <w:pPr>
        <w:pStyle w:val="Heading1"/>
        <w:keepNext/>
        <w:spacing w:before="0" w:after="200"/>
      </w:pPr>
      <w:r>
        <w:t>Contenido</w:t>
      </w:r>
    </w:p>
    <w:p>
      <w:pPr>
        <w:spacing w:before="0" w:after="60"/>
        <w:ind w:left="173"/>
      </w:pPr>
      <w:r>
        <w:rPr>
          <w:rFonts w:ascii="Helvetica Neue" w:hAnsi="Helvetica Neue"/>
          <w:b w:val="0"/>
          <w:sz w:val="20"/>
        </w:rPr>
        <w:t>1. Propósito y alcance de esta revisión</w:t>
      </w:r>
    </w:p>
    <w:p>
      <w:pPr>
        <w:spacing w:before="0" w:after="60"/>
        <w:ind w:left="173"/>
      </w:pPr>
      <w:r>
        <w:rPr>
          <w:rFonts w:ascii="Helvetica Neue" w:hAnsi="Helvetica Neue"/>
          <w:b w:val="0"/>
          <w:sz w:val="20"/>
        </w:rPr>
        <w:t>2. Resumen ejecutivo</w:t>
      </w:r>
    </w:p>
    <w:p>
      <w:pPr>
        <w:spacing w:before="0" w:after="60"/>
        <w:ind w:left="173"/>
      </w:pPr>
      <w:r>
        <w:rPr>
          <w:rFonts w:ascii="Helvetica Neue" w:hAnsi="Helvetica Neue"/>
          <w:b w:val="0"/>
          <w:sz w:val="20"/>
        </w:rPr>
        <w:t>3. Decisiones bloqueantes que requieren confirmación</w:t>
      </w:r>
    </w:p>
    <w:p>
      <w:pPr>
        <w:spacing w:before="0" w:after="60"/>
        <w:ind w:left="173"/>
      </w:pPr>
      <w:r>
        <w:rPr>
          <w:rFonts w:ascii="Helvetica Neue" w:hAnsi="Helvetica Neue"/>
          <w:b w:val="0"/>
          <w:sz w:val="20"/>
        </w:rPr>
        <w:t>4. Riesgos que no deben trasladarse a la nueva versión</w:t>
      </w:r>
    </w:p>
    <w:p>
      <w:pPr>
        <w:spacing w:before="0" w:after="60"/>
        <w:ind w:left="173"/>
      </w:pPr>
      <w:r>
        <w:rPr>
          <w:rFonts w:ascii="Helvetica Neue" w:hAnsi="Helvetica Neue"/>
          <w:b w:val="0"/>
          <w:sz w:val="20"/>
        </w:rPr>
        <w:t>5. Próximo paso propuesto</w:t>
      </w:r>
    </w:p>
    <w:p>
      <w:pPr>
        <w:spacing w:before="0" w:after="60"/>
        <w:ind w:left="173"/>
      </w:pPr>
      <w:r>
        <w:rPr>
          <w:rFonts w:ascii="Helvetica Neue" w:hAnsi="Helvetica Neue"/>
          <w:b w:val="0"/>
          <w:sz w:val="20"/>
        </w:rPr>
        <w:t>Apéndice: evidencia y alcance de la auditoría</w:t>
      </w:r>
    </w:p>
    <w:p>
      <w:pPr>
        <w:pStyle w:val="Heading1"/>
        <w:keepNext/>
        <w:spacing w:before="240" w:after="140"/>
      </w:pPr>
      <w:r>
        <w:t>1. Propósito y alcance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Este reporte traduce la auditoría del MVP de CobroMaster a decisiones de negocio y producto que el equipo necesita validar antes de iniciar una reconstrucción. No propone cambiar el sistema actual ni presupone que su comportamiento presente sea la regla final.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La revisión cubrió la aplicación Flutter, sus pantallas, estados, persistencia local, autenticación Firebase, configuraciones e integraciones declaradas. La evidencia se consolidó en 42 documentos de descubrimiento, con 95 reglas de negocio, 36 flujos y 35 preguntas abiertas.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144"/>
            <w:shd w:fill="EDE8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Helvetica Neue" w:hAnsi="Helvetica Neue"/>
                <w:b/>
                <w:color w:val="5D5040"/>
                <w:sz w:val="17"/>
              </w:rPr>
              <w:t>RESULTADO DE LA AUDITORÍA</w:t>
            </w:r>
          </w:p>
          <w:p>
            <w:pPr>
              <w:spacing w:after="0"/>
            </w:pPr>
            <w:r>
              <w:rPr>
                <w:rFonts w:ascii="Helvetica Neue" w:hAnsi="Helvetica Neue"/>
                <w:b w:val="0"/>
                <w:sz w:val="20"/>
              </w:rPr>
              <w:t>El MVP es una fuente valiosa para entender la operación de préstamos y cobranzas, pero no debe migrarse tal cual. La reconstrucción debe comenzar con decisiones de dominio, propiedad de datos y control financiero.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40"/>
      </w:pPr>
      <w:r>
        <w:t>2. Resumen ejecutivo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El producto parece buscar que una empresa administre rutas, clientes, préstamos, cobros y caja; y que los cobradores trabajen con las rutas que les sean asignadas, incluso en condiciones de conectividad limitada. Sin embargo, el comportamiento actual no ofrece garantías suficientes para operar o escalar con datos reales.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Los hallazgos no cuestionan la visión de negocio. Señalan que varias decisiones esenciales quedaron implícitas, incompletas o contradictorias en el MVP. Definirlas ahora evita reconstruir pantallas o integraciones que luego deban deshacerse.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464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Lo que existe</w:t>
            </w:r>
          </w:p>
        </w:tc>
        <w:tc>
          <w:tcPr>
            <w:tcW w:type="dxa" w:w="4464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Lo que debe resolverse antes de construir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Gestión de clientes, préstamos, pagos, rutas, visitas, gastos y caja.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Reglas contractuales de cartera, calendario, pagos y cierres.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Roles de administrador y cobrador, e intención de trabajo en equipo.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Empresa/tenant, permisos reales y visibilidad de datos por rol.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Persistencia local y una base inicial para operación sin conexión.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Sincronización, conflictos, revocación, cifrado y respaldo.</w:t>
            </w:r>
          </w:p>
        </w:tc>
      </w:tr>
      <w:tr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Pantallas o código para invitaciones, Wompi, cupones y reportes.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Qué integraciones serán reales, su alcance y su responsabilidad legal.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Hallazgos prioritarios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Datos no compartidos. </w:t>
      </w:r>
      <w:r>
        <w:rPr>
          <w:rFonts w:ascii="Helvetica Neue" w:hAnsi="Helvetica Neue"/>
          <w:b w:val="0"/>
          <w:sz w:val="20"/>
        </w:rPr>
        <w:t>Administrador y cobrador trabajan en espacios locales separados por usuario; hoy no existe una cartera operativa común por empresa.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Permisos débiles. </w:t>
      </w:r>
      <w:r>
        <w:rPr>
          <w:rFonts w:ascii="Helvetica Neue" w:hAnsi="Helvetica Neue"/>
          <w:b w:val="0"/>
          <w:sz w:val="20"/>
        </w:rPr>
        <w:t>Hay rutas que pueden conceder o elevar privilegios sin una autoridad de servidor claramente definida.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Operaciones financieras frágiles. </w:t>
      </w:r>
      <w:r>
        <w:rPr>
          <w:rFonts w:ascii="Helvetica Neue" w:hAnsi="Helvetica Neue"/>
          <w:b w:val="0"/>
          <w:sz w:val="20"/>
        </w:rPr>
        <w:t>Pagos, visitas, caja y cierres se actualizan por pasos independientes; un fallo parcial puede dejar cifras inconsistentes.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Reglas comerciales abiertas. </w:t>
      </w:r>
      <w:r>
        <w:rPr>
          <w:rFonts w:ascii="Helvetica Neue" w:hAnsi="Helvetica Neue"/>
          <w:b w:val="0"/>
          <w:sz w:val="20"/>
        </w:rPr>
        <w:t>El calendario de cuotas, los sobrepagos, la boleta, el retaque y la reapertura de cierres no tienen una definición contractual verificable.</w:t>
      </w:r>
    </w:p>
    <w:p>
      <w:pPr>
        <w:pStyle w:val="Heading1"/>
        <w:keepNext/>
        <w:spacing w:before="200" w:after="140"/>
      </w:pPr>
      <w:r>
        <w:t>3. Decisiones bloqueantes</w:t>
      </w:r>
    </w:p>
    <w:p>
      <w:pPr>
        <w:spacing w:before="0" w:after="140"/>
      </w:pPr>
      <w:r>
        <w:rPr>
          <w:rFonts w:ascii="Helvetica Neue" w:hAnsi="Helvetica Neue"/>
          <w:b w:val="0"/>
          <w:sz w:val="20"/>
        </w:rPr>
        <w:t>Estas 15 decisiones determinan el modelo de datos, permisos, cálculos, experiencia de usuario, arquitectura e integración. Recomendamos responderlas por escrito y convertir cada respuesta en una regla de aceptación antes de aprobar el inicio de desarrollo.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490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81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2448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Respuesta que se necesita</w:t>
            </w:r>
          </w:p>
        </w:tc>
        <w:tc>
          <w:tcPr>
            <w:tcW w:type="dxa" w:w="2736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Recomendación para decidir</w:t>
            </w:r>
          </w:p>
        </w:tc>
        <w:tc>
          <w:tcPr>
            <w:tcW w:type="dxa" w:w="2074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Qué se desbloquea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B01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Marca definitiva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¿La marca final es CobroMaster, CrediRuta o Presta Ya?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Elegir una marca y conservar las demás solo como referencias históricas.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Paquetes, identidad visual, dominio y migración.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B02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Plataformas objetivo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¿La primera versión productiva será Android solamente o también web y iOS?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Definir Android como prioridad; confirmar si web/iOS son parte del alcance inicial.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Arquitectura, pruebas, almacenamiento y costos.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B03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Ambientes Firebase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¿El proyecto Firebase actual contiene datos reales y qué reglas están desplegadas?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Separar desarrollo, pruebas y producción; revisar acceso antes de cualquier migración.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Riesgo de datos reales, seguridad y despliegue.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B04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Dominio e invitaciones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¿La empresa controla prestaya.app y cómo deben funcionar las invitaciones?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Elegir App Link, página web de respaldo o eliminar el uso del dominio.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Onboarding, enlaces, soporte y seguridad.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B05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Propiedad de datos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¿Los datos pertenecen a la empresa, al administrador, a una ruta o al cobrador?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Empresa como propietaria; usuarios vinculados mediante membresías y roles.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Toda la base de datos, migración y autorización.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B06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Administradores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¿Quién puede crear o invitar administradores?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Propietario de empresa con coadministradores explícitos y auditables.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Privilegios, invitaciones y riesgo de acceso indebido.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B07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Alcance del cobrador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¿Qué puede leer y modificar exactamente un cobrador?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Solo rutas, clientes y acciones asignadas; permisos por acción.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Pantallas, API, reglas de datos y auditoría.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B08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Modelo de cobro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¿El plan se cobra por usuario, empresa, ruta o combinación?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Definir unidad de facturación y límites antes de integrar pagos.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Suscripciones, precios y Wompi/IAP.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B09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Canal de pago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¿Se usará Wompi, compra dentro de tienda móvil o ambos?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Validar alternativa comercial y legal con el canal de publicación.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Backend, cumplimiento y experiencia de compra.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B10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Definición de caja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¿Qué constituye una jornada/caja: fecha, cobrador, ruta, zona y corte?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Empresa + cobrador + fecha, con alcance de ruta o zona definido.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Ledger, conciliación, reportes y sincronización.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B11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Frecuencia de entrega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¿Qué significa entrega diaria, semanal u otra frecuencia?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Definir si hay cierres diarios y liquidaciones acumuladas.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Flujo de caja, alertas y reportes.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B12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Reapertura de cierre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¿Quién puede reabrir un cierre, hasta cuándo y con qué evidencia?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Solo rol autorizado; ventana limitada o ajuste posterior auditado.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Control contable, permisos e historial.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B13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Boleta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¿Qué es una boleta y cómo se relaciona con número, valor, cobro y reparto?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Definir el concepto con ejemplos reales de una jornada.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Modelo financiero, fórmulas y reportes.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B14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Calendario de cuotas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¿Cómo se calcula la primera cuota, festivos, gracia y mora?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Especificar política de calendario por producto/préstamo.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Saldos, estados de cartera, notificaciones y pruebas.</w:t>
            </w:r>
          </w:p>
        </w:tc>
      </w:tr>
      <w:tr>
        <w:tc>
          <w:tcPr>
            <w:tcW w:type="dxa" w:w="4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B15</w:t>
            </w:r>
          </w:p>
        </w:tc>
        <w:tc>
          <w:tcPr>
            <w:tcW w:type="dxa" w:w="11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Préstamos y sobrepagos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¿Se permiten varios préstamos activos; cómo se imputa un pago excedente?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Elegir selección explícita, prioridad, reparto, crédito o rechazo.</w:t>
            </w:r>
          </w:p>
        </w:tc>
        <w:tc>
          <w:tcPr>
            <w:tcW w:type="dxa" w:w="20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Ledger, interfaz de pago y migración de cartera.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Cómo responder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Para cada decisión, registrar: (1) decisión aprobada; (2) ejemplo real de operación cuando aplique; (3) responsable que la aprueba; (4) fecha de vigencia; (5) impacto sobre datos existentes; y (6) criterio de aceptación comprobable. Esto convierte la conversación en requisitos listos para construir y probar.</w:t>
      </w:r>
    </w:p>
    <w:p>
      <w:pPr>
        <w:pStyle w:val="Heading1"/>
        <w:keepNext/>
        <w:spacing w:before="200" w:after="140"/>
      </w:pPr>
      <w:r>
        <w:t>4. Riesgos que no deben trasladarse</w:t>
      </w:r>
    </w:p>
    <w:p>
      <w:pPr>
        <w:spacing w:before="0" w:after="100"/>
      </w:pPr>
      <w:r>
        <w:rPr>
          <w:rFonts w:ascii="Helvetica Neue" w:hAnsi="Helvetica Neue"/>
          <w:b w:val="0"/>
          <w:sz w:val="20"/>
        </w:rPr>
        <w:t>La nueva versión no debería replicar estos comportamientos, incluso si hoy son visibles en el MVP: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Aislamiento por usuario. </w:t>
      </w:r>
      <w:r>
        <w:rPr>
          <w:rFonts w:ascii="Helvetica Neue" w:hAnsi="Helvetica Neue"/>
          <w:b w:val="0"/>
          <w:sz w:val="20"/>
        </w:rPr>
        <w:t>La operación de una empresa no puede depender de snapshots locales separados por UID.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Privilegios por atajo. </w:t>
      </w:r>
      <w:r>
        <w:rPr>
          <w:rFonts w:ascii="Helvetica Neue" w:hAnsi="Helvetica Neue"/>
          <w:b w:val="0"/>
          <w:sz w:val="20"/>
        </w:rPr>
        <w:t>No debe existir creación automática de administrador ni elevación de rol sin autorización de empresa.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Cierres sin historial. </w:t>
      </w:r>
      <w:r>
        <w:rPr>
          <w:rFonts w:ascii="Helvetica Neue" w:hAnsi="Helvetica Neue"/>
          <w:b w:val="0"/>
          <w:sz w:val="20"/>
        </w:rPr>
        <w:t>Un cierre debe dejar movimientos verificables; no solo modificar indicadores o banderas.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Dinero sin transacción. </w:t>
      </w:r>
      <w:r>
        <w:rPr>
          <w:rFonts w:ascii="Helvetica Neue" w:hAnsi="Helvetica Neue"/>
          <w:b w:val="0"/>
          <w:sz w:val="20"/>
        </w:rPr>
        <w:t>Un pago o ajuste debe registrar una única operación consistente, recuperable e idempotente.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  <w:t xml:space="preserve">Funcionalidades simuladas como finales. </w:t>
      </w:r>
      <w:r>
        <w:rPr>
          <w:rFonts w:ascii="Helvetica Neue" w:hAnsi="Helvetica Neue"/>
          <w:b w:val="0"/>
          <w:sz w:val="20"/>
        </w:rPr>
        <w:t>Pagos, cupones, invitaciones y sincronización deben mostrarse solo cuando sus flujos completos estén disponibles.</w:t>
      </w:r>
    </w:p>
    <w:p>
      <w:pPr>
        <w:pStyle w:val="Heading1"/>
        <w:keepNext/>
        <w:spacing w:before="200" w:after="140"/>
      </w:pPr>
      <w:r>
        <w:t>5. Próximo paso propuesto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Realizar una sesión de decisiones con el cliente y las personas que conocen la operación de cobranza. El objetivo no es diseñar pantallas: es acordar reglas de negocio con ejemplos concretos de préstamos, pagos, entrega de dinero y cierre.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4176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2808"/>
            <w:vAlign w:val="center"/>
            <w:shd w:fill="2525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Condición para avanzar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1. Taller de decisiones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Respuestas aprobadas a B01-B15 y ejemplos de operación.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Cada decisión tiene propietario y vigencia.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2. Especificación del dominio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Glosario, reglas financieras, permisos y criterios de aceptación.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Las reglas pueden probarse con casos reales.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3. Diseño de datos y arquitectura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Empresa/tenant, ledger, modelo offline y contratos de integración.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La migración legacy tiene estrategia y límites claros.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4. Reconstrucción por fases</w:t>
            </w:r>
          </w:p>
        </w:tc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Módulos priorizados y pruebas antes de reemplazar el MVP.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3EF"/>
          </w:tcPr>
          <w:p>
            <w:pPr>
              <w:spacing w:after="0"/>
            </w:pPr>
            <w:r>
              <w:rPr>
                <w:rFonts w:ascii="Helvetica Neue" w:hAnsi="Helvetica Neue"/>
                <w:b w:val="0"/>
                <w:sz w:val="16"/>
              </w:rPr>
              <w:t>No hay decisiones bloqueantes pendientes.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144"/>
            <w:shd w:fill="EDE8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rFonts w:ascii="Helvetica Neue" w:hAnsi="Helvetica Neue"/>
                <w:b/>
                <w:color w:val="5D5040"/>
                <w:sz w:val="17"/>
              </w:rPr>
              <w:t>DECISIÓN RECOMENDADA</w:t>
            </w:r>
          </w:p>
          <w:p>
            <w:pPr>
              <w:spacing w:after="0"/>
            </w:pPr>
            <w:r>
              <w:rPr>
                <w:rFonts w:ascii="Helvetica Neue" w:hAnsi="Helvetica Neue"/>
                <w:b w:val="0"/>
                <w:sz w:val="20"/>
              </w:rPr>
              <w:t>No iniciar la reconstrucción de pagos, caja, permisos ni sincronización hasta resolver las decisiones B05, B06, B07 y B10-B15. Son la base del dominio y cambiarán el trabajo técnico posterior.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40"/>
      </w:pPr>
      <w:r>
        <w:t>Apéndice: evidencia y alcance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La auditoría se realizó sobre el repositorio disponible. Los resultados se apoyan en revisión de código, flujos, modelos, persistencia, configuraciones y pruebas existentes. La suite disponible reportó 23 de 23 pruebas aprobadas y el análisis estático no presentó errores ni advertencias; esto no valida las reglas de negocio abiertas ni elimina los riesgos funcionales identificados.</w:t>
      </w:r>
    </w:p>
    <w:p>
      <w:pPr>
        <w:pStyle w:val="Heading2"/>
        <w:keepNext/>
        <w:spacing w:before="140" w:after="100"/>
      </w:pPr>
      <w:r>
        <w:t>Límites de verificación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</w:r>
      <w:r>
        <w:rPr>
          <w:rFonts w:ascii="Helvetica Neue" w:hAnsi="Helvetica Neue"/>
          <w:b w:val="0"/>
          <w:sz w:val="20"/>
        </w:rPr>
        <w:t>No se verificó la consola Firebase, los datos reales de dispositivos ni las reglas efectivamente desplegadas.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</w:r>
      <w:r>
        <w:rPr>
          <w:rFonts w:ascii="Helvetica Neue" w:hAnsi="Helvetica Neue"/>
          <w:b w:val="0"/>
          <w:sz w:val="20"/>
        </w:rPr>
        <w:t>No se verificaron Wompi, OAuth, dominio/App Links ni sincronización en un entorno productivo.</w:t>
      </w:r>
    </w:p>
    <w:p>
      <w:pPr>
        <w:spacing w:after="60"/>
        <w:ind w:left="317" w:hanging="230"/>
      </w:pPr>
      <w:r>
        <w:rPr>
          <w:rFonts w:ascii="Helvetica Neue" w:hAnsi="Helvetica Neue"/>
          <w:b/>
          <w:color w:val="1D1D1D"/>
          <w:sz w:val="20"/>
        </w:rPr>
        <w:t xml:space="preserve">• </w:t>
      </w:r>
      <w:r>
        <w:rPr>
          <w:rFonts w:ascii="Helvetica Neue" w:hAnsi="Helvetica Neue"/>
          <w:b/>
          <w:sz w:val="20"/>
        </w:rPr>
      </w:r>
      <w:r>
        <w:rPr>
          <w:rFonts w:ascii="Helvetica Neue" w:hAnsi="Helvetica Neue"/>
          <w:b w:val="0"/>
          <w:sz w:val="20"/>
        </w:rPr>
        <w:t>No se evaluó concurrencia real entre dispositivos, pérdida de conectividad ni obligaciones legales específicas de la jurisdicción.</w:t>
      </w:r>
    </w:p>
    <w:p>
      <w:pPr>
        <w:pStyle w:val="Heading2"/>
        <w:keepNext/>
        <w:spacing w:before="140" w:after="100"/>
      </w:pPr>
      <w:r>
        <w:t>Documentación de respaldo</w:t>
      </w:r>
    </w:p>
    <w:p>
      <w:pPr>
        <w:spacing w:before="0" w:after="120"/>
      </w:pPr>
      <w:r>
        <w:rPr>
          <w:rFonts w:ascii="Helvetica Neue" w:hAnsi="Helvetica Neue"/>
          <w:b w:val="0"/>
          <w:sz w:val="20"/>
        </w:rPr>
        <w:t>La evidencia detallada se conserva en docs/project-discovery/, especialmente: README.md; 06-business-rules.md; 08-user-flows.md; 21-client-questions.md; 22-migration-requirements.md; 23-recommended-target-architecture.md; 24-migration-roadmap.md; 25-final-conclusions.md; 27-coverage-matrix.md; y 28-evidence-index.md.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CobroMaster - Reporte de descubrimiento para cliente</dc:title>
  <cp:lastModifiedBy>python-docx</cp:lastModifiedBy>
  <cp:revision>1</cp:revision>
  <dcterms:modified xsi:type="dcterms:W3CDTF">2026-07-10T23:07:21Z</dcterms:modified>
  <dc:subject>Decisiones bloqueantes para la reconstrucción del producto</dc:subject>
  <dc:creator>Equipo de proyecto</dc:creator>
</cp:coreProperties>
</file>