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1083821" w:displacedByCustomXml="next"/>
    <w:sdt>
      <w:sdtPr>
        <w:rPr>
          <w:rFonts w:ascii="Times New Roman" w:eastAsiaTheme="minorHAnsi" w:hAnsi="Times New Roman" w:cstheme="minorHAnsi"/>
          <w:sz w:val="24"/>
          <w:szCs w:val="20"/>
          <w:lang w:val="en-GB" w:bidi="hi-IN"/>
        </w:rPr>
        <w:id w:val="-739796096"/>
        <w:docPartObj>
          <w:docPartGallery w:val="Cover Pages"/>
          <w:docPartUnique/>
        </w:docPartObj>
      </w:sdtPr>
      <w:sdtContent>
        <w:p w14:paraId="3D4ECDE4" w14:textId="77777777" w:rsidR="002039E9" w:rsidRPr="00296723" w:rsidRDefault="002039E9" w:rsidP="00BF44EF">
          <w:pPr>
            <w:pStyle w:val="NoSpacing"/>
            <w:rPr>
              <w:rFonts w:cstheme="minorHAnsi"/>
              <w:lang w:val="en-GB"/>
            </w:rPr>
          </w:pPr>
        </w:p>
        <w:p w14:paraId="133D8457" w14:textId="77777777" w:rsidR="002039E9" w:rsidRPr="00296723" w:rsidRDefault="002039E9" w:rsidP="00BF44EF">
          <w:pPr>
            <w:pStyle w:val="BodyText"/>
            <w:rPr>
              <w:rFonts w:asciiTheme="minorHAnsi" w:hAnsiTheme="minorHAnsi" w:cstheme="minorHAnsi"/>
              <w:sz w:val="22"/>
              <w:szCs w:val="22"/>
              <w:lang w:val="en-GB"/>
            </w:rPr>
          </w:pPr>
        </w:p>
        <w:p w14:paraId="3A0AAF49" w14:textId="77777777" w:rsidR="002039E9" w:rsidRPr="00296723" w:rsidRDefault="002039E9" w:rsidP="00BF44EF">
          <w:pPr>
            <w:pStyle w:val="BodyText"/>
            <w:rPr>
              <w:rFonts w:asciiTheme="minorHAnsi" w:hAnsiTheme="minorHAnsi" w:cstheme="minorHAnsi"/>
              <w:sz w:val="22"/>
              <w:szCs w:val="22"/>
              <w:lang w:val="en-GB"/>
            </w:rPr>
          </w:pPr>
        </w:p>
        <w:p w14:paraId="46F34768" w14:textId="77777777" w:rsidR="002039E9" w:rsidRPr="00296723" w:rsidRDefault="002039E9" w:rsidP="00BF44EF">
          <w:pPr>
            <w:pStyle w:val="BodyText"/>
            <w:rPr>
              <w:rFonts w:asciiTheme="minorHAnsi" w:hAnsiTheme="minorHAnsi" w:cstheme="minorHAnsi"/>
              <w:sz w:val="22"/>
              <w:szCs w:val="22"/>
              <w:lang w:val="en-GB"/>
            </w:rPr>
          </w:pPr>
        </w:p>
        <w:p w14:paraId="7E0729FC" w14:textId="77777777" w:rsidR="002039E9" w:rsidRPr="00296723" w:rsidRDefault="002039E9" w:rsidP="00BF44EF">
          <w:pPr>
            <w:pStyle w:val="BodyText"/>
            <w:rPr>
              <w:rFonts w:asciiTheme="minorHAnsi" w:hAnsiTheme="minorHAnsi" w:cstheme="minorHAnsi"/>
              <w:sz w:val="22"/>
              <w:szCs w:val="22"/>
              <w:lang w:val="en-GB"/>
            </w:rPr>
          </w:pPr>
        </w:p>
        <w:p w14:paraId="73E29424" w14:textId="77777777" w:rsidR="002039E9" w:rsidRPr="00296723" w:rsidRDefault="002039E9" w:rsidP="00BF44EF">
          <w:pPr>
            <w:pStyle w:val="BodyText"/>
            <w:spacing w:before="2"/>
            <w:rPr>
              <w:rFonts w:asciiTheme="minorHAnsi" w:hAnsiTheme="minorHAnsi" w:cstheme="minorHAnsi"/>
              <w:sz w:val="22"/>
              <w:szCs w:val="22"/>
              <w:lang w:val="en-GB"/>
            </w:rPr>
          </w:pPr>
        </w:p>
        <w:p w14:paraId="565A22FC" w14:textId="77777777" w:rsidR="002039E9" w:rsidRPr="00296723" w:rsidRDefault="002039E9" w:rsidP="00BF44EF">
          <w:pPr>
            <w:pStyle w:val="BodyText"/>
            <w:ind w:left="1446"/>
            <w:rPr>
              <w:rFonts w:asciiTheme="minorHAnsi" w:hAnsiTheme="minorHAnsi" w:cstheme="minorHAnsi"/>
              <w:sz w:val="22"/>
              <w:szCs w:val="22"/>
              <w:lang w:val="en-GB"/>
            </w:rPr>
          </w:pPr>
          <w:r w:rsidRPr="00296723">
            <w:rPr>
              <w:rFonts w:asciiTheme="minorHAnsi" w:hAnsiTheme="minorHAnsi" w:cstheme="minorHAnsi"/>
              <w:noProof/>
              <w:sz w:val="22"/>
              <w:szCs w:val="22"/>
              <w:lang w:val="en-GB"/>
            </w:rPr>
            <w:drawing>
              <wp:inline distT="0" distB="0" distL="0" distR="0" wp14:anchorId="4592CF9D" wp14:editId="2C3393A7">
                <wp:extent cx="3973290" cy="870966"/>
                <wp:effectExtent l="0" t="0" r="0" b="0"/>
                <wp:docPr id="3" name="Picture 3" descr="logo-edh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973290" cy="870966"/>
                        </a:xfrm>
                        <a:prstGeom prst="rect">
                          <a:avLst/>
                        </a:prstGeom>
                      </pic:spPr>
                    </pic:pic>
                  </a:graphicData>
                </a:graphic>
              </wp:inline>
            </w:drawing>
          </w:r>
        </w:p>
        <w:p w14:paraId="5AFD0BC4" w14:textId="77777777" w:rsidR="002039E9" w:rsidRPr="00296723" w:rsidRDefault="002039E9" w:rsidP="00BF44EF">
          <w:pPr>
            <w:pStyle w:val="BodyText"/>
            <w:rPr>
              <w:rFonts w:asciiTheme="minorHAnsi" w:hAnsiTheme="minorHAnsi" w:cstheme="minorHAnsi"/>
              <w:sz w:val="22"/>
              <w:szCs w:val="22"/>
              <w:lang w:val="en-GB"/>
            </w:rPr>
          </w:pPr>
        </w:p>
        <w:p w14:paraId="38B93F76" w14:textId="77777777" w:rsidR="002039E9" w:rsidRPr="00296723" w:rsidRDefault="002039E9" w:rsidP="00BF44EF">
          <w:pPr>
            <w:pStyle w:val="BodyText"/>
            <w:rPr>
              <w:rFonts w:asciiTheme="minorHAnsi" w:hAnsiTheme="minorHAnsi" w:cstheme="minorHAnsi"/>
              <w:sz w:val="22"/>
              <w:szCs w:val="22"/>
              <w:lang w:val="en-GB"/>
            </w:rPr>
          </w:pPr>
        </w:p>
        <w:p w14:paraId="35C462DE" w14:textId="77777777" w:rsidR="002039E9" w:rsidRPr="00296723" w:rsidRDefault="002039E9" w:rsidP="00BF44EF">
          <w:pPr>
            <w:pStyle w:val="BodyText"/>
            <w:rPr>
              <w:rFonts w:asciiTheme="minorHAnsi" w:hAnsiTheme="minorHAnsi" w:cstheme="minorHAnsi"/>
              <w:sz w:val="22"/>
              <w:szCs w:val="22"/>
              <w:lang w:val="en-GB"/>
            </w:rPr>
          </w:pPr>
        </w:p>
        <w:p w14:paraId="4A119FB0" w14:textId="77777777" w:rsidR="002039E9" w:rsidRPr="00296723" w:rsidRDefault="002039E9" w:rsidP="00BF44EF">
          <w:pPr>
            <w:pStyle w:val="BodyText"/>
            <w:rPr>
              <w:rFonts w:asciiTheme="minorHAnsi" w:hAnsiTheme="minorHAnsi" w:cstheme="minorHAnsi"/>
              <w:sz w:val="22"/>
              <w:szCs w:val="22"/>
              <w:lang w:val="en-GB"/>
            </w:rPr>
          </w:pPr>
        </w:p>
        <w:p w14:paraId="2127EFE4" w14:textId="77777777" w:rsidR="002039E9" w:rsidRPr="00296723" w:rsidRDefault="002039E9" w:rsidP="00BF44EF">
          <w:pPr>
            <w:pStyle w:val="BodyText"/>
            <w:rPr>
              <w:rFonts w:asciiTheme="minorHAnsi" w:hAnsiTheme="minorHAnsi" w:cstheme="minorHAnsi"/>
              <w:sz w:val="22"/>
              <w:szCs w:val="22"/>
              <w:lang w:val="en-GB"/>
            </w:rPr>
          </w:pPr>
        </w:p>
        <w:p w14:paraId="142AC636" w14:textId="77777777" w:rsidR="002039E9" w:rsidRPr="00296723" w:rsidRDefault="002039E9" w:rsidP="00BF44EF">
          <w:pPr>
            <w:pStyle w:val="BodyText"/>
            <w:rPr>
              <w:rFonts w:asciiTheme="minorHAnsi" w:hAnsiTheme="minorHAnsi" w:cstheme="minorHAnsi"/>
              <w:sz w:val="22"/>
              <w:szCs w:val="22"/>
              <w:lang w:val="en-GB"/>
            </w:rPr>
          </w:pPr>
        </w:p>
        <w:p w14:paraId="4802CAED" w14:textId="77777777" w:rsidR="002039E9" w:rsidRPr="00296723" w:rsidRDefault="002039E9" w:rsidP="00BF44EF">
          <w:pPr>
            <w:pStyle w:val="BodyText"/>
            <w:rPr>
              <w:rFonts w:asciiTheme="minorHAnsi" w:hAnsiTheme="minorHAnsi" w:cstheme="minorHAnsi"/>
              <w:sz w:val="22"/>
              <w:szCs w:val="22"/>
              <w:lang w:val="en-GB"/>
            </w:rPr>
          </w:pPr>
        </w:p>
        <w:p w14:paraId="2E2FC09D" w14:textId="77777777" w:rsidR="002039E9" w:rsidRPr="00296723" w:rsidRDefault="002039E9" w:rsidP="00BF44EF">
          <w:pPr>
            <w:pStyle w:val="BodyText"/>
            <w:rPr>
              <w:rFonts w:asciiTheme="minorHAnsi" w:hAnsiTheme="minorHAnsi" w:cstheme="minorHAnsi"/>
              <w:sz w:val="22"/>
              <w:szCs w:val="22"/>
              <w:lang w:val="en-GB"/>
            </w:rPr>
          </w:pPr>
        </w:p>
        <w:p w14:paraId="78FD0AB1" w14:textId="77777777" w:rsidR="002039E9" w:rsidRPr="00296723" w:rsidRDefault="002039E9" w:rsidP="00BF44EF">
          <w:pPr>
            <w:pStyle w:val="BodyText"/>
            <w:spacing w:before="9"/>
            <w:rPr>
              <w:rFonts w:asciiTheme="minorHAnsi" w:hAnsiTheme="minorHAnsi" w:cstheme="minorHAnsi"/>
              <w:sz w:val="22"/>
              <w:szCs w:val="22"/>
              <w:lang w:val="en-GB"/>
            </w:rPr>
          </w:pPr>
        </w:p>
        <w:p w14:paraId="102C926B" w14:textId="77777777" w:rsidR="00D43E68" w:rsidRPr="00D43E68" w:rsidRDefault="00D43E68" w:rsidP="00BF44EF">
          <w:pPr>
            <w:pStyle w:val="BodyText"/>
            <w:rPr>
              <w:rFonts w:asciiTheme="minorHAnsi" w:hAnsiTheme="minorHAnsi" w:cstheme="minorHAnsi"/>
              <w:b/>
              <w:bCs/>
              <w:smallCaps/>
              <w:sz w:val="40"/>
              <w:szCs w:val="40"/>
              <w:lang w:val="en-ID"/>
            </w:rPr>
          </w:pPr>
          <w:r w:rsidRPr="00D43E68">
            <w:rPr>
              <w:rFonts w:asciiTheme="minorHAnsi" w:hAnsiTheme="minorHAnsi" w:cstheme="minorHAnsi"/>
              <w:b/>
              <w:bCs/>
              <w:smallCaps/>
              <w:sz w:val="40"/>
              <w:szCs w:val="40"/>
              <w:lang w:val="en-ID"/>
            </w:rPr>
            <w:t>Title: Do Inflated Exchange Rates and Private Lending Levels Lead to Financial Instability in India?</w:t>
          </w:r>
        </w:p>
        <w:p w14:paraId="1B8E4D44" w14:textId="77777777" w:rsidR="002039E9" w:rsidRPr="00D43E68" w:rsidRDefault="002039E9" w:rsidP="00BF44EF">
          <w:pPr>
            <w:pStyle w:val="BodyText"/>
            <w:rPr>
              <w:rFonts w:asciiTheme="minorHAnsi" w:hAnsiTheme="minorHAnsi" w:cstheme="minorHAnsi"/>
              <w:b/>
              <w:sz w:val="22"/>
              <w:szCs w:val="22"/>
              <w:lang w:val="en-ID"/>
            </w:rPr>
          </w:pPr>
        </w:p>
        <w:p w14:paraId="3D36E3B3" w14:textId="77777777" w:rsidR="002039E9" w:rsidRPr="00296723" w:rsidRDefault="002039E9" w:rsidP="00BF44EF">
          <w:pPr>
            <w:pStyle w:val="BodyText"/>
            <w:rPr>
              <w:rFonts w:asciiTheme="minorHAnsi" w:hAnsiTheme="minorHAnsi" w:cstheme="minorHAnsi"/>
              <w:b/>
              <w:sz w:val="22"/>
              <w:szCs w:val="22"/>
              <w:lang w:val="en-GB"/>
            </w:rPr>
          </w:pPr>
        </w:p>
        <w:p w14:paraId="7DCA1421" w14:textId="77777777" w:rsidR="002039E9" w:rsidRPr="00296723" w:rsidRDefault="002039E9" w:rsidP="00BF44EF">
          <w:pPr>
            <w:pStyle w:val="BodyText"/>
            <w:rPr>
              <w:rFonts w:asciiTheme="minorHAnsi" w:hAnsiTheme="minorHAnsi" w:cstheme="minorHAnsi"/>
              <w:b/>
              <w:sz w:val="22"/>
              <w:szCs w:val="22"/>
              <w:lang w:val="en-GB"/>
            </w:rPr>
          </w:pPr>
        </w:p>
        <w:p w14:paraId="4C73287A" w14:textId="77777777" w:rsidR="002039E9" w:rsidRPr="00296723" w:rsidRDefault="002039E9" w:rsidP="00BF44EF">
          <w:pPr>
            <w:pStyle w:val="BodyText"/>
            <w:rPr>
              <w:rFonts w:asciiTheme="minorHAnsi" w:hAnsiTheme="minorHAnsi" w:cstheme="minorHAnsi"/>
              <w:b/>
              <w:sz w:val="22"/>
              <w:szCs w:val="22"/>
              <w:lang w:val="en-GB"/>
            </w:rPr>
          </w:pPr>
        </w:p>
        <w:p w14:paraId="78E4BF23" w14:textId="77777777" w:rsidR="002039E9" w:rsidRPr="00296723" w:rsidRDefault="002039E9" w:rsidP="00BF44EF">
          <w:pPr>
            <w:pStyle w:val="BodyText"/>
            <w:rPr>
              <w:rFonts w:asciiTheme="minorHAnsi" w:hAnsiTheme="minorHAnsi" w:cstheme="minorHAnsi"/>
              <w:b/>
              <w:sz w:val="22"/>
              <w:szCs w:val="22"/>
              <w:lang w:val="en-GB"/>
            </w:rPr>
          </w:pPr>
        </w:p>
        <w:p w14:paraId="7A85945A" w14:textId="02D62571" w:rsidR="002039E9" w:rsidRPr="00296723" w:rsidRDefault="002039E9" w:rsidP="00BF44EF">
          <w:pPr>
            <w:pStyle w:val="BodyText"/>
            <w:rPr>
              <w:rFonts w:asciiTheme="minorHAnsi" w:hAnsiTheme="minorHAnsi" w:cstheme="minorHAnsi"/>
              <w:b/>
              <w:sz w:val="22"/>
              <w:szCs w:val="22"/>
              <w:lang w:val="en-GB"/>
            </w:rPr>
          </w:pPr>
        </w:p>
        <w:p w14:paraId="704CBB31" w14:textId="77777777" w:rsidR="0036128C" w:rsidRPr="0036128C" w:rsidRDefault="0036128C" w:rsidP="0036128C">
          <w:pPr>
            <w:widowControl w:val="0"/>
            <w:tabs>
              <w:tab w:val="left" w:pos="822"/>
            </w:tabs>
            <w:autoSpaceDE w:val="0"/>
            <w:autoSpaceDN w:val="0"/>
            <w:spacing w:before="240" w:after="0" w:line="360" w:lineRule="auto"/>
            <w:ind w:right="295"/>
            <w:rPr>
              <w:rFonts w:asciiTheme="majorBidi" w:hAnsiTheme="majorBidi" w:cstheme="majorBidi"/>
              <w:szCs w:val="24"/>
              <w:lang w:val="en-GB"/>
            </w:rPr>
          </w:pPr>
          <w:r w:rsidRPr="0036128C">
            <w:rPr>
              <w:rFonts w:asciiTheme="majorBidi" w:hAnsiTheme="majorBidi" w:cstheme="majorBidi"/>
              <w:szCs w:val="24"/>
              <w:lang w:val="en-GB"/>
            </w:rPr>
            <w:t>« EDHEC Business School does not express approval or disapproval concerning the</w:t>
          </w:r>
          <w:r w:rsidRPr="0036128C">
            <w:rPr>
              <w:rFonts w:asciiTheme="majorBidi" w:hAnsiTheme="majorBidi" w:cstheme="majorBidi"/>
              <w:spacing w:val="1"/>
              <w:szCs w:val="24"/>
              <w:lang w:val="en-GB"/>
            </w:rPr>
            <w:t xml:space="preserve"> </w:t>
          </w:r>
          <w:r w:rsidRPr="0036128C">
            <w:rPr>
              <w:rFonts w:asciiTheme="majorBidi" w:hAnsiTheme="majorBidi" w:cstheme="majorBidi"/>
              <w:spacing w:val="-1"/>
              <w:szCs w:val="24"/>
              <w:lang w:val="en-GB"/>
            </w:rPr>
            <w:t>opinions</w:t>
          </w:r>
          <w:r w:rsidRPr="0036128C">
            <w:rPr>
              <w:rFonts w:asciiTheme="majorBidi" w:hAnsiTheme="majorBidi" w:cstheme="majorBidi"/>
              <w:spacing w:val="-9"/>
              <w:szCs w:val="24"/>
              <w:lang w:val="en-GB"/>
            </w:rPr>
            <w:t xml:space="preserve"> </w:t>
          </w:r>
          <w:r w:rsidRPr="0036128C">
            <w:rPr>
              <w:rFonts w:asciiTheme="majorBidi" w:hAnsiTheme="majorBidi" w:cstheme="majorBidi"/>
              <w:spacing w:val="-1"/>
              <w:szCs w:val="24"/>
              <w:lang w:val="en-GB"/>
            </w:rPr>
            <w:t>given</w:t>
          </w:r>
          <w:r w:rsidRPr="0036128C">
            <w:rPr>
              <w:rFonts w:asciiTheme="majorBidi" w:hAnsiTheme="majorBidi" w:cstheme="majorBidi"/>
              <w:spacing w:val="-12"/>
              <w:szCs w:val="24"/>
              <w:lang w:val="en-GB"/>
            </w:rPr>
            <w:t xml:space="preserve"> </w:t>
          </w:r>
          <w:r w:rsidRPr="0036128C">
            <w:rPr>
              <w:rFonts w:asciiTheme="majorBidi" w:hAnsiTheme="majorBidi" w:cstheme="majorBidi"/>
              <w:spacing w:val="-1"/>
              <w:szCs w:val="24"/>
              <w:lang w:val="en-GB"/>
            </w:rPr>
            <w:t>in</w:t>
          </w:r>
          <w:r w:rsidRPr="0036128C">
            <w:rPr>
              <w:rFonts w:asciiTheme="majorBidi" w:hAnsiTheme="majorBidi" w:cstheme="majorBidi"/>
              <w:spacing w:val="-10"/>
              <w:szCs w:val="24"/>
              <w:lang w:val="en-GB"/>
            </w:rPr>
            <w:t xml:space="preserve"> </w:t>
          </w:r>
          <w:r w:rsidRPr="0036128C">
            <w:rPr>
              <w:rFonts w:asciiTheme="majorBidi" w:hAnsiTheme="majorBidi" w:cstheme="majorBidi"/>
              <w:spacing w:val="-1"/>
              <w:szCs w:val="24"/>
              <w:lang w:val="en-GB"/>
            </w:rPr>
            <w:t>this</w:t>
          </w:r>
          <w:r w:rsidRPr="0036128C">
            <w:rPr>
              <w:rFonts w:asciiTheme="majorBidi" w:hAnsiTheme="majorBidi" w:cstheme="majorBidi"/>
              <w:spacing w:val="-9"/>
              <w:szCs w:val="24"/>
              <w:lang w:val="en-GB"/>
            </w:rPr>
            <w:t xml:space="preserve"> </w:t>
          </w:r>
          <w:r w:rsidRPr="0036128C">
            <w:rPr>
              <w:rFonts w:asciiTheme="majorBidi" w:hAnsiTheme="majorBidi" w:cstheme="majorBidi"/>
              <w:spacing w:val="-1"/>
              <w:szCs w:val="24"/>
              <w:lang w:val="en-GB"/>
            </w:rPr>
            <w:t>paper</w:t>
          </w:r>
          <w:r w:rsidRPr="0036128C">
            <w:rPr>
              <w:rFonts w:asciiTheme="majorBidi" w:hAnsiTheme="majorBidi" w:cstheme="majorBidi"/>
              <w:spacing w:val="-14"/>
              <w:szCs w:val="24"/>
              <w:lang w:val="en-GB"/>
            </w:rPr>
            <w:t xml:space="preserve"> </w:t>
          </w:r>
          <w:r w:rsidRPr="0036128C">
            <w:rPr>
              <w:rFonts w:asciiTheme="majorBidi" w:hAnsiTheme="majorBidi" w:cstheme="majorBidi"/>
              <w:spacing w:val="-1"/>
              <w:szCs w:val="24"/>
              <w:lang w:val="en-GB"/>
            </w:rPr>
            <w:t>which</w:t>
          </w:r>
          <w:r w:rsidRPr="0036128C">
            <w:rPr>
              <w:rFonts w:asciiTheme="majorBidi" w:hAnsiTheme="majorBidi" w:cstheme="majorBidi"/>
              <w:spacing w:val="-13"/>
              <w:szCs w:val="24"/>
              <w:lang w:val="en-GB"/>
            </w:rPr>
            <w:t xml:space="preserve"> </w:t>
          </w:r>
          <w:r w:rsidRPr="0036128C">
            <w:rPr>
              <w:rFonts w:asciiTheme="majorBidi" w:hAnsiTheme="majorBidi" w:cstheme="majorBidi"/>
              <w:szCs w:val="24"/>
              <w:lang w:val="en-GB"/>
            </w:rPr>
            <w:t>are</w:t>
          </w:r>
          <w:r w:rsidRPr="0036128C">
            <w:rPr>
              <w:rFonts w:asciiTheme="majorBidi" w:hAnsiTheme="majorBidi" w:cstheme="majorBidi"/>
              <w:spacing w:val="-11"/>
              <w:szCs w:val="24"/>
              <w:lang w:val="en-GB"/>
            </w:rPr>
            <w:t xml:space="preserve"> </w:t>
          </w:r>
          <w:r w:rsidRPr="0036128C">
            <w:rPr>
              <w:rFonts w:asciiTheme="majorBidi" w:hAnsiTheme="majorBidi" w:cstheme="majorBidi"/>
              <w:szCs w:val="24"/>
              <w:lang w:val="en-GB"/>
            </w:rPr>
            <w:t>the</w:t>
          </w:r>
          <w:r w:rsidRPr="0036128C">
            <w:rPr>
              <w:rFonts w:asciiTheme="majorBidi" w:hAnsiTheme="majorBidi" w:cstheme="majorBidi"/>
              <w:spacing w:val="-11"/>
              <w:szCs w:val="24"/>
              <w:lang w:val="en-GB"/>
            </w:rPr>
            <w:t xml:space="preserve"> </w:t>
          </w:r>
          <w:r w:rsidRPr="0036128C">
            <w:rPr>
              <w:rFonts w:asciiTheme="majorBidi" w:hAnsiTheme="majorBidi" w:cstheme="majorBidi"/>
              <w:szCs w:val="24"/>
              <w:lang w:val="en-GB"/>
            </w:rPr>
            <w:t>sole</w:t>
          </w:r>
          <w:r w:rsidRPr="0036128C">
            <w:rPr>
              <w:rFonts w:asciiTheme="majorBidi" w:hAnsiTheme="majorBidi" w:cstheme="majorBidi"/>
              <w:spacing w:val="-11"/>
              <w:szCs w:val="24"/>
              <w:lang w:val="en-GB"/>
            </w:rPr>
            <w:t xml:space="preserve"> </w:t>
          </w:r>
          <w:r w:rsidRPr="0036128C">
            <w:rPr>
              <w:rFonts w:asciiTheme="majorBidi" w:hAnsiTheme="majorBidi" w:cstheme="majorBidi"/>
              <w:szCs w:val="24"/>
              <w:lang w:val="en-GB"/>
            </w:rPr>
            <w:t>responsibility</w:t>
          </w:r>
          <w:r w:rsidRPr="0036128C">
            <w:rPr>
              <w:rFonts w:asciiTheme="majorBidi" w:hAnsiTheme="majorBidi" w:cstheme="majorBidi"/>
              <w:spacing w:val="-11"/>
              <w:szCs w:val="24"/>
              <w:lang w:val="en-GB"/>
            </w:rPr>
            <w:t xml:space="preserve"> </w:t>
          </w:r>
          <w:r w:rsidRPr="0036128C">
            <w:rPr>
              <w:rFonts w:asciiTheme="majorBidi" w:hAnsiTheme="majorBidi" w:cstheme="majorBidi"/>
              <w:szCs w:val="24"/>
              <w:lang w:val="en-GB"/>
            </w:rPr>
            <w:t>of</w:t>
          </w:r>
          <w:r w:rsidRPr="0036128C">
            <w:rPr>
              <w:rFonts w:asciiTheme="majorBidi" w:hAnsiTheme="majorBidi" w:cstheme="majorBidi"/>
              <w:spacing w:val="-12"/>
              <w:szCs w:val="24"/>
              <w:lang w:val="en-GB"/>
            </w:rPr>
            <w:t xml:space="preserve"> </w:t>
          </w:r>
          <w:r w:rsidRPr="0036128C">
            <w:rPr>
              <w:rFonts w:asciiTheme="majorBidi" w:hAnsiTheme="majorBidi" w:cstheme="majorBidi"/>
              <w:szCs w:val="24"/>
              <w:lang w:val="en-GB"/>
            </w:rPr>
            <w:t>the</w:t>
          </w:r>
          <w:r w:rsidRPr="0036128C">
            <w:rPr>
              <w:rFonts w:asciiTheme="majorBidi" w:hAnsiTheme="majorBidi" w:cstheme="majorBidi"/>
              <w:spacing w:val="-12"/>
              <w:szCs w:val="24"/>
              <w:lang w:val="en-GB"/>
            </w:rPr>
            <w:t xml:space="preserve"> </w:t>
          </w:r>
          <w:r w:rsidRPr="0036128C">
            <w:rPr>
              <w:rFonts w:asciiTheme="majorBidi" w:hAnsiTheme="majorBidi" w:cstheme="majorBidi"/>
              <w:szCs w:val="24"/>
              <w:lang w:val="en-GB"/>
            </w:rPr>
            <w:t>author.</w:t>
          </w:r>
          <w:r w:rsidRPr="0036128C">
            <w:rPr>
              <w:rFonts w:asciiTheme="majorBidi" w:hAnsiTheme="majorBidi" w:cstheme="majorBidi"/>
              <w:spacing w:val="-12"/>
              <w:szCs w:val="24"/>
              <w:lang w:val="en-GB"/>
            </w:rPr>
            <w:t xml:space="preserve"> </w:t>
          </w:r>
          <w:r w:rsidRPr="0036128C">
            <w:rPr>
              <w:rFonts w:asciiTheme="majorBidi" w:hAnsiTheme="majorBidi" w:cstheme="majorBidi"/>
              <w:szCs w:val="24"/>
              <w:lang w:val="en-GB"/>
            </w:rPr>
            <w:t xml:space="preserve">» </w:t>
          </w:r>
        </w:p>
        <w:p w14:paraId="71993D99" w14:textId="6B906BF6" w:rsidR="002039E9" w:rsidRPr="00296723" w:rsidRDefault="002039E9" w:rsidP="00BF44EF">
          <w:pPr>
            <w:pStyle w:val="BodyText"/>
            <w:rPr>
              <w:rFonts w:asciiTheme="minorHAnsi" w:hAnsiTheme="minorHAnsi" w:cstheme="minorHAnsi"/>
              <w:b/>
              <w:sz w:val="22"/>
              <w:szCs w:val="22"/>
              <w:lang w:val="en-GB"/>
            </w:rPr>
          </w:pPr>
        </w:p>
        <w:p w14:paraId="1EDD0EFF" w14:textId="002F7D20" w:rsidR="002039E9" w:rsidRPr="00296723" w:rsidRDefault="002039E9" w:rsidP="00BF44EF">
          <w:pPr>
            <w:pStyle w:val="BodyText"/>
            <w:spacing w:before="10"/>
            <w:rPr>
              <w:rFonts w:asciiTheme="minorHAnsi" w:hAnsiTheme="minorHAnsi" w:cstheme="minorHAnsi"/>
              <w:b/>
              <w:sz w:val="22"/>
              <w:szCs w:val="22"/>
              <w:lang w:val="en-GB"/>
            </w:rPr>
          </w:pPr>
        </w:p>
        <w:p w14:paraId="56467477" w14:textId="1CC40740" w:rsidR="0047429E" w:rsidRDefault="00000000" w:rsidP="0047429E">
          <w:pPr>
            <w:rPr>
              <w:rFonts w:cstheme="minorHAnsi"/>
              <w:lang w:val="en-GB"/>
            </w:rPr>
          </w:pPr>
        </w:p>
      </w:sdtContent>
    </w:sdt>
    <w:p w14:paraId="6B9CB0EE" w14:textId="2756E769" w:rsidR="003F06B3" w:rsidRPr="00296723" w:rsidRDefault="00A253E4" w:rsidP="0047429E">
      <w:pPr>
        <w:rPr>
          <w:rFonts w:asciiTheme="minorHAnsi" w:hAnsiTheme="minorHAnsi" w:cstheme="minorHAnsi"/>
          <w:sz w:val="22"/>
          <w:szCs w:val="22"/>
          <w:lang w:val="en-GB"/>
        </w:rPr>
      </w:pPr>
      <w:r w:rsidRPr="00296723">
        <w:rPr>
          <w:rFonts w:asciiTheme="minorHAnsi" w:hAnsiTheme="minorHAnsi" w:cstheme="minorHAnsi"/>
          <w:noProof/>
          <w:sz w:val="22"/>
          <w:szCs w:val="22"/>
          <w:lang w:val="en-GB"/>
        </w:rPr>
        <mc:AlternateContent>
          <mc:Choice Requires="wps">
            <w:drawing>
              <wp:anchor distT="0" distB="0" distL="0" distR="0" simplePos="0" relativeHeight="251659264" behindDoc="1" locked="0" layoutInCell="1" allowOverlap="1" wp14:anchorId="51B42A6F" wp14:editId="29EE0D64">
                <wp:simplePos x="0" y="0"/>
                <wp:positionH relativeFrom="page">
                  <wp:posOffset>573405</wp:posOffset>
                </wp:positionH>
                <wp:positionV relativeFrom="paragraph">
                  <wp:posOffset>346710</wp:posOffset>
                </wp:positionV>
                <wp:extent cx="6413500" cy="1600200"/>
                <wp:effectExtent l="0" t="0" r="12700" b="1270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0" cy="16002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2715C31" w14:textId="3F8488E5" w:rsidR="00D43E68" w:rsidRPr="0036128C" w:rsidRDefault="002039E9" w:rsidP="00A253E4">
                            <w:pPr>
                              <w:spacing w:before="74" w:after="0" w:line="480" w:lineRule="auto"/>
                              <w:ind w:right="4112"/>
                              <w:rPr>
                                <w:rFonts w:asciiTheme="majorBidi" w:hAnsiTheme="majorBidi" w:cstheme="majorBidi"/>
                                <w:b/>
                                <w:spacing w:val="1"/>
                                <w:szCs w:val="24"/>
                              </w:rPr>
                            </w:pPr>
                            <w:r w:rsidRPr="0036128C">
                              <w:rPr>
                                <w:rFonts w:asciiTheme="majorBidi" w:hAnsiTheme="majorBidi" w:cstheme="majorBidi"/>
                                <w:b/>
                                <w:spacing w:val="1"/>
                                <w:szCs w:val="24"/>
                              </w:rPr>
                              <w:t>Master Thesis</w:t>
                            </w:r>
                          </w:p>
                          <w:p w14:paraId="1301C904" w14:textId="77777777"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Author:</w:t>
                            </w:r>
                            <w:r w:rsidRPr="0036128C">
                              <w:rPr>
                                <w:rFonts w:asciiTheme="majorBidi" w:hAnsiTheme="majorBidi" w:cstheme="majorBidi"/>
                              </w:rPr>
                              <w:t> Varun Sai Bera</w:t>
                            </w:r>
                          </w:p>
                          <w:p w14:paraId="46895A19" w14:textId="77777777"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Advisor:</w:t>
                            </w:r>
                            <w:r w:rsidRPr="0036128C">
                              <w:rPr>
                                <w:rFonts w:asciiTheme="majorBidi" w:hAnsiTheme="majorBidi" w:cstheme="majorBidi"/>
                              </w:rPr>
                              <w:t xml:space="preserve"> Prof. Arnaud </w:t>
                            </w:r>
                            <w:proofErr w:type="spellStart"/>
                            <w:r w:rsidRPr="0036128C">
                              <w:rPr>
                                <w:rFonts w:asciiTheme="majorBidi" w:hAnsiTheme="majorBidi" w:cstheme="majorBidi"/>
                              </w:rPr>
                              <w:t>Dufays</w:t>
                            </w:r>
                            <w:proofErr w:type="spellEnd"/>
                          </w:p>
                          <w:p w14:paraId="1E523B0A" w14:textId="77777777"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Programme:</w:t>
                            </w:r>
                            <w:r w:rsidRPr="0036128C">
                              <w:rPr>
                                <w:rFonts w:asciiTheme="majorBidi" w:hAnsiTheme="majorBidi" w:cstheme="majorBidi"/>
                              </w:rPr>
                              <w:t> Master's in Management – Business Management, EDHEC Business School</w:t>
                            </w:r>
                          </w:p>
                          <w:p w14:paraId="53AFACD3" w14:textId="13B1AE41"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Date:</w:t>
                            </w:r>
                            <w:r w:rsidRPr="0036128C">
                              <w:rPr>
                                <w:rFonts w:asciiTheme="majorBidi" w:hAnsiTheme="majorBidi" w:cstheme="majorBidi"/>
                              </w:rPr>
                              <w:t> </w:t>
                            </w:r>
                            <w:r w:rsidR="00CE7F7A">
                              <w:rPr>
                                <w:rFonts w:asciiTheme="majorBidi" w:hAnsiTheme="majorBidi" w:cstheme="majorBidi"/>
                              </w:rPr>
                              <w:t>23</w:t>
                            </w:r>
                            <w:r w:rsidR="00CE7F7A" w:rsidRPr="00CE7F7A">
                              <w:rPr>
                                <w:rFonts w:asciiTheme="majorBidi" w:hAnsiTheme="majorBidi" w:cstheme="majorBidi"/>
                                <w:vertAlign w:val="superscript"/>
                              </w:rPr>
                              <w:t>rd</w:t>
                            </w:r>
                            <w:r w:rsidR="00CE7F7A">
                              <w:rPr>
                                <w:rFonts w:asciiTheme="majorBidi" w:hAnsiTheme="majorBidi" w:cstheme="majorBidi"/>
                              </w:rPr>
                              <w:t xml:space="preserve"> June </w:t>
                            </w:r>
                            <w:r w:rsidRPr="0036128C">
                              <w:rPr>
                                <w:rFonts w:asciiTheme="majorBidi" w:hAnsiTheme="majorBidi" w:cstheme="majorBidi"/>
                              </w:rPr>
                              <w:t xml:space="preserve"> 2025</w:t>
                            </w:r>
                          </w:p>
                          <w:p w14:paraId="0BF951EE" w14:textId="71DFA18A" w:rsidR="002039E9" w:rsidRPr="001D1C3C" w:rsidRDefault="002039E9" w:rsidP="00D43E68">
                            <w:pPr>
                              <w:spacing w:before="74" w:after="0" w:line="480" w:lineRule="auto"/>
                              <w:ind w:left="143" w:right="2978"/>
                              <w:rPr>
                                <w:rFonts w:asciiTheme="minorHAnsi" w:hAnsiTheme="minorHAnsi" w:cstheme="minorHAnsi"/>
                                <w:bCs/>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42A6F" id="_x0000_t202" coordsize="21600,21600" o:spt="202" path="m,l,21600r21600,l21600,xe">
                <v:stroke joinstyle="miter"/>
                <v:path gradientshapeok="t" o:connecttype="rect"/>
              </v:shapetype>
              <v:shape id="Text Box 4" o:spid="_x0000_s1026" type="#_x0000_t202" style="position:absolute;margin-left:45.15pt;margin-top:27.3pt;width:505pt;height:12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" filled="f">
                <v:textbox inset="0,0,0,0">
                  <w:txbxContent>
                    <w:p w14:paraId="52715C31" w14:textId="3F8488E5" w:rsidR="00D43E68" w:rsidRPr="0036128C" w:rsidRDefault="002039E9" w:rsidP="00A253E4">
                      <w:pPr>
                        <w:spacing w:before="74" w:after="0" w:line="480" w:lineRule="auto"/>
                        <w:ind w:right="4112"/>
                        <w:rPr>
                          <w:rFonts w:asciiTheme="majorBidi" w:hAnsiTheme="majorBidi" w:cstheme="majorBidi"/>
                          <w:b/>
                          <w:spacing w:val="1"/>
                          <w:szCs w:val="24"/>
                        </w:rPr>
                      </w:pPr>
                      <w:r w:rsidRPr="0036128C">
                        <w:rPr>
                          <w:rFonts w:asciiTheme="majorBidi" w:hAnsiTheme="majorBidi" w:cstheme="majorBidi"/>
                          <w:b/>
                          <w:spacing w:val="1"/>
                          <w:szCs w:val="24"/>
                        </w:rPr>
                        <w:t>Master Thesis</w:t>
                      </w:r>
                    </w:p>
                    <w:p w14:paraId="1301C904" w14:textId="77777777"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Author:</w:t>
                      </w:r>
                      <w:r w:rsidRPr="0036128C">
                        <w:rPr>
                          <w:rFonts w:asciiTheme="majorBidi" w:hAnsiTheme="majorBidi" w:cstheme="majorBidi"/>
                        </w:rPr>
                        <w:t> Varun Sai Bera</w:t>
                      </w:r>
                    </w:p>
                    <w:p w14:paraId="46895A19" w14:textId="77777777"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Advisor:</w:t>
                      </w:r>
                      <w:r w:rsidRPr="0036128C">
                        <w:rPr>
                          <w:rFonts w:asciiTheme="majorBidi" w:hAnsiTheme="majorBidi" w:cstheme="majorBidi"/>
                        </w:rPr>
                        <w:t xml:space="preserve"> Prof. Arnaud </w:t>
                      </w:r>
                      <w:proofErr w:type="spellStart"/>
                      <w:r w:rsidRPr="0036128C">
                        <w:rPr>
                          <w:rFonts w:asciiTheme="majorBidi" w:hAnsiTheme="majorBidi" w:cstheme="majorBidi"/>
                        </w:rPr>
                        <w:t>Dufays</w:t>
                      </w:r>
                      <w:proofErr w:type="spellEnd"/>
                    </w:p>
                    <w:p w14:paraId="1E523B0A" w14:textId="77777777"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Programme:</w:t>
                      </w:r>
                      <w:r w:rsidRPr="0036128C">
                        <w:rPr>
                          <w:rFonts w:asciiTheme="majorBidi" w:hAnsiTheme="majorBidi" w:cstheme="majorBidi"/>
                        </w:rPr>
                        <w:t> Master's in Management – Business Management, EDHEC Business School</w:t>
                      </w:r>
                    </w:p>
                    <w:p w14:paraId="53AFACD3" w14:textId="13B1AE41" w:rsidR="00D43E68" w:rsidRPr="0036128C" w:rsidRDefault="00D43E68" w:rsidP="00D43E68">
                      <w:pPr>
                        <w:spacing w:line="278" w:lineRule="auto"/>
                        <w:rPr>
                          <w:rFonts w:asciiTheme="majorBidi" w:hAnsiTheme="majorBidi" w:cstheme="majorBidi"/>
                        </w:rPr>
                      </w:pPr>
                      <w:r w:rsidRPr="0036128C">
                        <w:rPr>
                          <w:rFonts w:asciiTheme="majorBidi" w:hAnsiTheme="majorBidi" w:cstheme="majorBidi"/>
                          <w:b/>
                          <w:bCs/>
                        </w:rPr>
                        <w:t>Date:</w:t>
                      </w:r>
                      <w:r w:rsidRPr="0036128C">
                        <w:rPr>
                          <w:rFonts w:asciiTheme="majorBidi" w:hAnsiTheme="majorBidi" w:cstheme="majorBidi"/>
                        </w:rPr>
                        <w:t> </w:t>
                      </w:r>
                      <w:r w:rsidR="00CE7F7A">
                        <w:rPr>
                          <w:rFonts w:asciiTheme="majorBidi" w:hAnsiTheme="majorBidi" w:cstheme="majorBidi"/>
                        </w:rPr>
                        <w:t>23</w:t>
                      </w:r>
                      <w:r w:rsidR="00CE7F7A" w:rsidRPr="00CE7F7A">
                        <w:rPr>
                          <w:rFonts w:asciiTheme="majorBidi" w:hAnsiTheme="majorBidi" w:cstheme="majorBidi"/>
                          <w:vertAlign w:val="superscript"/>
                        </w:rPr>
                        <w:t>rd</w:t>
                      </w:r>
                      <w:r w:rsidR="00CE7F7A">
                        <w:rPr>
                          <w:rFonts w:asciiTheme="majorBidi" w:hAnsiTheme="majorBidi" w:cstheme="majorBidi"/>
                        </w:rPr>
                        <w:t xml:space="preserve"> June </w:t>
                      </w:r>
                      <w:r w:rsidRPr="0036128C">
                        <w:rPr>
                          <w:rFonts w:asciiTheme="majorBidi" w:hAnsiTheme="majorBidi" w:cstheme="majorBidi"/>
                        </w:rPr>
                        <w:t xml:space="preserve"> 2025</w:t>
                      </w:r>
                    </w:p>
                    <w:p w14:paraId="0BF951EE" w14:textId="71DFA18A" w:rsidR="002039E9" w:rsidRPr="001D1C3C" w:rsidRDefault="002039E9" w:rsidP="00D43E68">
                      <w:pPr>
                        <w:spacing w:before="74" w:after="0" w:line="480" w:lineRule="auto"/>
                        <w:ind w:left="143" w:right="2978"/>
                        <w:rPr>
                          <w:rFonts w:asciiTheme="minorHAnsi" w:hAnsiTheme="minorHAnsi" w:cstheme="minorHAnsi"/>
                          <w:bCs/>
                          <w:sz w:val="22"/>
                          <w:szCs w:val="22"/>
                        </w:rPr>
                      </w:pPr>
                    </w:p>
                  </w:txbxContent>
                </v:textbox>
                <w10:wrap type="topAndBottom" anchorx="page"/>
              </v:shape>
            </w:pict>
          </mc:Fallback>
        </mc:AlternateContent>
      </w:r>
    </w:p>
    <w:p w14:paraId="51B6991B" w14:textId="0632739C" w:rsidR="0047429E" w:rsidRDefault="0047429E" w:rsidP="00BF44EF">
      <w:pPr>
        <w:widowControl w:val="0"/>
        <w:tabs>
          <w:tab w:val="left" w:pos="822"/>
        </w:tabs>
        <w:autoSpaceDE w:val="0"/>
        <w:autoSpaceDN w:val="0"/>
        <w:spacing w:before="240" w:after="0" w:line="240" w:lineRule="auto"/>
        <w:ind w:right="295"/>
        <w:rPr>
          <w:rFonts w:asciiTheme="majorBidi" w:hAnsiTheme="majorBidi" w:cstheme="majorBidi"/>
          <w:sz w:val="22"/>
          <w:szCs w:val="22"/>
          <w:lang w:val="fr-FR"/>
        </w:rPr>
      </w:pPr>
    </w:p>
    <w:p w14:paraId="104F4758" w14:textId="5E97B856" w:rsidR="0047429E" w:rsidRDefault="0047429E" w:rsidP="00BF44EF">
      <w:pPr>
        <w:widowControl w:val="0"/>
        <w:tabs>
          <w:tab w:val="left" w:pos="822"/>
        </w:tabs>
        <w:autoSpaceDE w:val="0"/>
        <w:autoSpaceDN w:val="0"/>
        <w:spacing w:before="240" w:after="0" w:line="240" w:lineRule="auto"/>
        <w:ind w:right="295"/>
        <w:rPr>
          <w:rFonts w:asciiTheme="majorBidi" w:hAnsiTheme="majorBidi" w:cstheme="majorBidi"/>
          <w:sz w:val="22"/>
          <w:szCs w:val="22"/>
          <w:lang w:val="fr-FR"/>
        </w:rPr>
      </w:pPr>
    </w:p>
    <w:p w14:paraId="64087830" w14:textId="651C78B3" w:rsidR="00FF5A88" w:rsidRPr="00CC700E" w:rsidRDefault="00FF5A88" w:rsidP="00BF44EF">
      <w:pPr>
        <w:widowControl w:val="0"/>
        <w:tabs>
          <w:tab w:val="left" w:pos="822"/>
        </w:tabs>
        <w:autoSpaceDE w:val="0"/>
        <w:autoSpaceDN w:val="0"/>
        <w:spacing w:before="240" w:after="0" w:line="240" w:lineRule="auto"/>
        <w:ind w:right="295"/>
        <w:rPr>
          <w:rFonts w:asciiTheme="majorBidi" w:hAnsiTheme="majorBidi" w:cstheme="majorBidi"/>
          <w:sz w:val="22"/>
          <w:szCs w:val="22"/>
          <w:lang w:val="fr-FR"/>
        </w:rPr>
      </w:pPr>
      <w:r w:rsidRPr="00CC700E">
        <w:rPr>
          <w:rFonts w:asciiTheme="majorBidi" w:hAnsiTheme="majorBidi" w:cstheme="majorBidi"/>
          <w:sz w:val="22"/>
          <w:szCs w:val="22"/>
          <w:lang w:val="fr-FR"/>
        </w:rPr>
        <w:lastRenderedPageBreak/>
        <w:t xml:space="preserve">In French </w:t>
      </w:r>
    </w:p>
    <w:p w14:paraId="33F7C080" w14:textId="77777777" w:rsidR="00FF5A88" w:rsidRPr="00CC700E" w:rsidRDefault="00FF5A88" w:rsidP="004B5321">
      <w:pPr>
        <w:widowControl w:val="0"/>
        <w:tabs>
          <w:tab w:val="left" w:pos="822"/>
        </w:tabs>
        <w:autoSpaceDE w:val="0"/>
        <w:autoSpaceDN w:val="0"/>
        <w:spacing w:before="240" w:after="0" w:line="360" w:lineRule="auto"/>
        <w:ind w:right="295"/>
        <w:jc w:val="both"/>
        <w:rPr>
          <w:rFonts w:asciiTheme="majorBidi" w:hAnsiTheme="majorBidi" w:cstheme="majorBidi"/>
          <w:spacing w:val="-12"/>
          <w:sz w:val="22"/>
          <w:szCs w:val="22"/>
          <w:lang w:val="fr-FR"/>
        </w:rPr>
      </w:pPr>
      <w:r w:rsidRPr="00CC700E">
        <w:rPr>
          <w:rFonts w:asciiTheme="majorBidi" w:hAnsiTheme="majorBidi" w:cstheme="majorBidi"/>
          <w:sz w:val="22"/>
          <w:szCs w:val="22"/>
          <w:lang w:val="fr-FR"/>
        </w:rPr>
        <w:t xml:space="preserve">« L'EDHEC Business </w:t>
      </w:r>
      <w:proofErr w:type="spellStart"/>
      <w:r w:rsidRPr="00CC700E">
        <w:rPr>
          <w:rFonts w:asciiTheme="majorBidi" w:hAnsiTheme="majorBidi" w:cstheme="majorBidi"/>
          <w:sz w:val="22"/>
          <w:szCs w:val="22"/>
          <w:lang w:val="fr-FR"/>
        </w:rPr>
        <w:t>School</w:t>
      </w:r>
      <w:proofErr w:type="spellEnd"/>
      <w:r w:rsidRPr="00CC700E">
        <w:rPr>
          <w:rFonts w:asciiTheme="majorBidi" w:hAnsiTheme="majorBidi" w:cstheme="majorBidi"/>
          <w:sz w:val="22"/>
          <w:szCs w:val="22"/>
          <w:lang w:val="fr-FR"/>
        </w:rPr>
        <w:t xml:space="preserve"> n'exprime aucune forme d'approbation ou de désapprobation quant aux opinions exprimées dans ce document, qui relèvent de la seule responsabilité de l'auteur. » </w:t>
      </w:r>
      <w:r w:rsidRPr="00CC700E">
        <w:rPr>
          <w:rFonts w:asciiTheme="majorBidi" w:hAnsiTheme="majorBidi" w:cstheme="majorBidi"/>
          <w:spacing w:val="-12"/>
          <w:sz w:val="22"/>
          <w:szCs w:val="22"/>
          <w:lang w:val="fr-FR"/>
        </w:rPr>
        <w:t xml:space="preserve"> </w:t>
      </w:r>
    </w:p>
    <w:p w14:paraId="2B0D7BFB" w14:textId="4C570E0F" w:rsidR="00FF5A88" w:rsidRPr="00CC700E" w:rsidRDefault="00FF5A88" w:rsidP="004B5321">
      <w:pPr>
        <w:widowControl w:val="0"/>
        <w:tabs>
          <w:tab w:val="left" w:pos="822"/>
        </w:tabs>
        <w:autoSpaceDE w:val="0"/>
        <w:autoSpaceDN w:val="0"/>
        <w:spacing w:before="240" w:after="0" w:line="360" w:lineRule="auto"/>
        <w:ind w:right="295"/>
        <w:jc w:val="both"/>
        <w:rPr>
          <w:rFonts w:asciiTheme="majorBidi" w:hAnsiTheme="majorBidi" w:cstheme="majorBidi"/>
          <w:sz w:val="22"/>
          <w:szCs w:val="22"/>
          <w:lang w:val="en-GB"/>
        </w:rPr>
      </w:pPr>
      <w:r w:rsidRPr="00CC700E">
        <w:rPr>
          <w:rFonts w:asciiTheme="majorBidi" w:hAnsiTheme="majorBidi" w:cstheme="majorBidi"/>
          <w:sz w:val="22"/>
          <w:szCs w:val="22"/>
          <w:lang w:val="en-GB"/>
        </w:rPr>
        <w:t>«I certify that: the Master Project being</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submitted for examination is my own research, the data and results presented are genuine and</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actually</w:t>
      </w:r>
      <w:r w:rsidRPr="00CC700E">
        <w:rPr>
          <w:rFonts w:asciiTheme="majorBidi" w:hAnsiTheme="majorBidi" w:cstheme="majorBidi"/>
          <w:spacing w:val="-8"/>
          <w:sz w:val="22"/>
          <w:szCs w:val="22"/>
          <w:lang w:val="en-GB"/>
        </w:rPr>
        <w:t xml:space="preserve"> </w:t>
      </w:r>
      <w:r w:rsidRPr="00CC700E">
        <w:rPr>
          <w:rFonts w:asciiTheme="majorBidi" w:hAnsiTheme="majorBidi" w:cstheme="majorBidi"/>
          <w:sz w:val="22"/>
          <w:szCs w:val="22"/>
          <w:lang w:val="en-GB"/>
        </w:rPr>
        <w:t>obtained</w:t>
      </w:r>
      <w:r w:rsidRPr="00CC700E">
        <w:rPr>
          <w:rFonts w:asciiTheme="majorBidi" w:hAnsiTheme="majorBidi" w:cstheme="majorBidi"/>
          <w:spacing w:val="-6"/>
          <w:sz w:val="22"/>
          <w:szCs w:val="22"/>
          <w:lang w:val="en-GB"/>
        </w:rPr>
        <w:t xml:space="preserve"> </w:t>
      </w:r>
      <w:r w:rsidRPr="00CC700E">
        <w:rPr>
          <w:rFonts w:asciiTheme="majorBidi" w:hAnsiTheme="majorBidi" w:cstheme="majorBidi"/>
          <w:sz w:val="22"/>
          <w:szCs w:val="22"/>
          <w:lang w:val="en-GB"/>
        </w:rPr>
        <w:t>by</w:t>
      </w:r>
      <w:r w:rsidRPr="00CC700E">
        <w:rPr>
          <w:rFonts w:asciiTheme="majorBidi" w:hAnsiTheme="majorBidi" w:cstheme="majorBidi"/>
          <w:spacing w:val="-9"/>
          <w:sz w:val="22"/>
          <w:szCs w:val="22"/>
          <w:lang w:val="en-GB"/>
        </w:rPr>
        <w:t xml:space="preserve"> </w:t>
      </w:r>
      <w:r w:rsidRPr="00CC700E">
        <w:rPr>
          <w:rFonts w:asciiTheme="majorBidi" w:hAnsiTheme="majorBidi" w:cstheme="majorBidi"/>
          <w:sz w:val="22"/>
          <w:szCs w:val="22"/>
          <w:lang w:val="en-GB"/>
        </w:rPr>
        <w:t>me</w:t>
      </w:r>
      <w:r w:rsidRPr="00CC700E">
        <w:rPr>
          <w:rFonts w:asciiTheme="majorBidi" w:hAnsiTheme="majorBidi" w:cstheme="majorBidi"/>
          <w:spacing w:val="-4"/>
          <w:sz w:val="22"/>
          <w:szCs w:val="22"/>
          <w:lang w:val="en-GB"/>
        </w:rPr>
        <w:t xml:space="preserve"> </w:t>
      </w:r>
      <w:r w:rsidRPr="00CC700E">
        <w:rPr>
          <w:rFonts w:asciiTheme="majorBidi" w:hAnsiTheme="majorBidi" w:cstheme="majorBidi"/>
          <w:sz w:val="22"/>
          <w:szCs w:val="22"/>
          <w:lang w:val="en-GB"/>
        </w:rPr>
        <w:t>during</w:t>
      </w:r>
      <w:r w:rsidRPr="00CC700E">
        <w:rPr>
          <w:rFonts w:asciiTheme="majorBidi" w:hAnsiTheme="majorBidi" w:cstheme="majorBidi"/>
          <w:spacing w:val="-6"/>
          <w:sz w:val="22"/>
          <w:szCs w:val="22"/>
          <w:lang w:val="en-GB"/>
        </w:rPr>
        <w:t xml:space="preserve"> </w:t>
      </w:r>
      <w:r w:rsidRPr="00CC700E">
        <w:rPr>
          <w:rFonts w:asciiTheme="majorBidi" w:hAnsiTheme="majorBidi" w:cstheme="majorBidi"/>
          <w:sz w:val="22"/>
          <w:szCs w:val="22"/>
          <w:lang w:val="en-GB"/>
        </w:rPr>
        <w:t>the</w:t>
      </w:r>
      <w:r w:rsidRPr="00CC700E">
        <w:rPr>
          <w:rFonts w:asciiTheme="majorBidi" w:hAnsiTheme="majorBidi" w:cstheme="majorBidi"/>
          <w:spacing w:val="-6"/>
          <w:sz w:val="22"/>
          <w:szCs w:val="22"/>
          <w:lang w:val="en-GB"/>
        </w:rPr>
        <w:t xml:space="preserve"> </w:t>
      </w:r>
      <w:r w:rsidRPr="00CC700E">
        <w:rPr>
          <w:rFonts w:asciiTheme="majorBidi" w:hAnsiTheme="majorBidi" w:cstheme="majorBidi"/>
          <w:sz w:val="22"/>
          <w:szCs w:val="22"/>
          <w:lang w:val="en-GB"/>
        </w:rPr>
        <w:t>conduct</w:t>
      </w:r>
      <w:r w:rsidRPr="00CC700E">
        <w:rPr>
          <w:rFonts w:asciiTheme="majorBidi" w:hAnsiTheme="majorBidi" w:cstheme="majorBidi"/>
          <w:spacing w:val="-7"/>
          <w:sz w:val="22"/>
          <w:szCs w:val="22"/>
          <w:lang w:val="en-GB"/>
        </w:rPr>
        <w:t xml:space="preserve"> </w:t>
      </w:r>
      <w:r w:rsidRPr="00CC700E">
        <w:rPr>
          <w:rFonts w:asciiTheme="majorBidi" w:hAnsiTheme="majorBidi" w:cstheme="majorBidi"/>
          <w:sz w:val="22"/>
          <w:szCs w:val="22"/>
          <w:lang w:val="en-GB"/>
        </w:rPr>
        <w:t>of</w:t>
      </w:r>
      <w:r w:rsidRPr="00CC700E">
        <w:rPr>
          <w:rFonts w:asciiTheme="majorBidi" w:hAnsiTheme="majorBidi" w:cstheme="majorBidi"/>
          <w:spacing w:val="-7"/>
          <w:sz w:val="22"/>
          <w:szCs w:val="22"/>
          <w:lang w:val="en-GB"/>
        </w:rPr>
        <w:t xml:space="preserve"> </w:t>
      </w:r>
      <w:r w:rsidRPr="00CC700E">
        <w:rPr>
          <w:rFonts w:asciiTheme="majorBidi" w:hAnsiTheme="majorBidi" w:cstheme="majorBidi"/>
          <w:sz w:val="22"/>
          <w:szCs w:val="22"/>
          <w:lang w:val="en-GB"/>
        </w:rPr>
        <w:t>the</w:t>
      </w:r>
      <w:r w:rsidRPr="00CC700E">
        <w:rPr>
          <w:rFonts w:asciiTheme="majorBidi" w:hAnsiTheme="majorBidi" w:cstheme="majorBidi"/>
          <w:spacing w:val="-8"/>
          <w:sz w:val="22"/>
          <w:szCs w:val="22"/>
          <w:lang w:val="en-GB"/>
        </w:rPr>
        <w:t xml:space="preserve"> </w:t>
      </w:r>
      <w:r w:rsidRPr="00CC700E">
        <w:rPr>
          <w:rFonts w:asciiTheme="majorBidi" w:hAnsiTheme="majorBidi" w:cstheme="majorBidi"/>
          <w:sz w:val="22"/>
          <w:szCs w:val="22"/>
          <w:lang w:val="en-GB"/>
        </w:rPr>
        <w:t>research</w:t>
      </w:r>
      <w:r w:rsidRPr="00CC700E">
        <w:rPr>
          <w:rFonts w:asciiTheme="majorBidi" w:hAnsiTheme="majorBidi" w:cstheme="majorBidi"/>
          <w:spacing w:val="-6"/>
          <w:sz w:val="22"/>
          <w:szCs w:val="22"/>
          <w:lang w:val="en-GB"/>
        </w:rPr>
        <w:t xml:space="preserve"> </w:t>
      </w:r>
      <w:r w:rsidRPr="00CC700E">
        <w:rPr>
          <w:rFonts w:asciiTheme="majorBidi" w:hAnsiTheme="majorBidi" w:cstheme="majorBidi"/>
          <w:sz w:val="22"/>
          <w:szCs w:val="22"/>
          <w:lang w:val="en-GB"/>
        </w:rPr>
        <w:t>and</w:t>
      </w:r>
      <w:r w:rsidRPr="00CC700E">
        <w:rPr>
          <w:rFonts w:asciiTheme="majorBidi" w:hAnsiTheme="majorBidi" w:cstheme="majorBidi"/>
          <w:spacing w:val="-6"/>
          <w:sz w:val="22"/>
          <w:szCs w:val="22"/>
          <w:lang w:val="en-GB"/>
        </w:rPr>
        <w:t xml:space="preserve"> </w:t>
      </w:r>
      <w:r w:rsidRPr="00CC700E">
        <w:rPr>
          <w:rFonts w:asciiTheme="majorBidi" w:hAnsiTheme="majorBidi" w:cstheme="majorBidi"/>
          <w:sz w:val="22"/>
          <w:szCs w:val="22"/>
          <w:lang w:val="en-GB"/>
        </w:rPr>
        <w:t>that</w:t>
      </w:r>
      <w:r w:rsidRPr="00CC700E">
        <w:rPr>
          <w:rFonts w:asciiTheme="majorBidi" w:hAnsiTheme="majorBidi" w:cstheme="majorBidi"/>
          <w:spacing w:val="-7"/>
          <w:sz w:val="22"/>
          <w:szCs w:val="22"/>
          <w:lang w:val="en-GB"/>
        </w:rPr>
        <w:t xml:space="preserve"> </w:t>
      </w:r>
      <w:r w:rsidRPr="00CC700E">
        <w:rPr>
          <w:rFonts w:asciiTheme="majorBidi" w:hAnsiTheme="majorBidi" w:cstheme="majorBidi"/>
          <w:sz w:val="22"/>
          <w:szCs w:val="22"/>
          <w:lang w:val="en-GB"/>
        </w:rPr>
        <w:t>I</w:t>
      </w:r>
      <w:r w:rsidRPr="00CC700E">
        <w:rPr>
          <w:rFonts w:asciiTheme="majorBidi" w:hAnsiTheme="majorBidi" w:cstheme="majorBidi"/>
          <w:spacing w:val="-6"/>
          <w:sz w:val="22"/>
          <w:szCs w:val="22"/>
          <w:lang w:val="en-GB"/>
        </w:rPr>
        <w:t xml:space="preserve"> </w:t>
      </w:r>
      <w:r w:rsidRPr="00CC700E">
        <w:rPr>
          <w:rFonts w:asciiTheme="majorBidi" w:hAnsiTheme="majorBidi" w:cstheme="majorBidi"/>
          <w:sz w:val="22"/>
          <w:szCs w:val="22"/>
          <w:lang w:val="en-GB"/>
        </w:rPr>
        <w:t>have</w:t>
      </w:r>
      <w:r w:rsidRPr="00CC700E">
        <w:rPr>
          <w:rFonts w:asciiTheme="majorBidi" w:hAnsiTheme="majorBidi" w:cstheme="majorBidi"/>
          <w:spacing w:val="-7"/>
          <w:sz w:val="22"/>
          <w:szCs w:val="22"/>
          <w:lang w:val="en-GB"/>
        </w:rPr>
        <w:t xml:space="preserve"> </w:t>
      </w:r>
      <w:r w:rsidRPr="00CC700E">
        <w:rPr>
          <w:rFonts w:asciiTheme="majorBidi" w:hAnsiTheme="majorBidi" w:cstheme="majorBidi"/>
          <w:sz w:val="22"/>
          <w:szCs w:val="22"/>
          <w:lang w:val="en-GB"/>
        </w:rPr>
        <w:t>properly</w:t>
      </w:r>
      <w:r w:rsidRPr="00CC700E">
        <w:rPr>
          <w:rFonts w:asciiTheme="majorBidi" w:hAnsiTheme="majorBidi" w:cstheme="majorBidi"/>
          <w:spacing w:val="-4"/>
          <w:sz w:val="22"/>
          <w:szCs w:val="22"/>
          <w:lang w:val="en-GB"/>
        </w:rPr>
        <w:t xml:space="preserve"> </w:t>
      </w:r>
      <w:r w:rsidRPr="00CC700E">
        <w:rPr>
          <w:rFonts w:asciiTheme="majorBidi" w:hAnsiTheme="majorBidi" w:cstheme="majorBidi"/>
          <w:sz w:val="22"/>
          <w:szCs w:val="22"/>
          <w:lang w:val="en-GB"/>
        </w:rPr>
        <w:t>acknowledged</w:t>
      </w:r>
      <w:r w:rsidRPr="00CC700E">
        <w:rPr>
          <w:rFonts w:asciiTheme="majorBidi" w:hAnsiTheme="majorBidi" w:cstheme="majorBidi"/>
          <w:spacing w:val="-48"/>
          <w:sz w:val="22"/>
          <w:szCs w:val="22"/>
          <w:lang w:val="en-GB"/>
        </w:rPr>
        <w:t xml:space="preserve"> </w:t>
      </w:r>
      <w:r w:rsidRPr="00CC700E">
        <w:rPr>
          <w:rFonts w:asciiTheme="majorBidi" w:hAnsiTheme="majorBidi" w:cstheme="majorBidi"/>
          <w:sz w:val="22"/>
          <w:szCs w:val="22"/>
          <w:lang w:val="en-GB"/>
        </w:rPr>
        <w:t>using parenthetical indications and a full bibliography all areas where I have drawn on the work,</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ideas and results of others and that the master project has not been presented to any other</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examination</w:t>
      </w:r>
      <w:r w:rsidRPr="00CC700E">
        <w:rPr>
          <w:rFonts w:asciiTheme="majorBidi" w:hAnsiTheme="majorBidi" w:cstheme="majorBidi"/>
          <w:spacing w:val="-4"/>
          <w:sz w:val="22"/>
          <w:szCs w:val="22"/>
          <w:lang w:val="en-GB"/>
        </w:rPr>
        <w:t xml:space="preserve"> </w:t>
      </w:r>
      <w:r w:rsidRPr="00CC700E">
        <w:rPr>
          <w:rFonts w:asciiTheme="majorBidi" w:hAnsiTheme="majorBidi" w:cstheme="majorBidi"/>
          <w:sz w:val="22"/>
          <w:szCs w:val="22"/>
          <w:lang w:val="en-GB"/>
        </w:rPr>
        <w:t>committee before and</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has</w:t>
      </w:r>
      <w:r w:rsidRPr="00CC700E">
        <w:rPr>
          <w:rFonts w:asciiTheme="majorBidi" w:hAnsiTheme="majorBidi" w:cstheme="majorBidi"/>
          <w:spacing w:val="-3"/>
          <w:sz w:val="22"/>
          <w:szCs w:val="22"/>
          <w:lang w:val="en-GB"/>
        </w:rPr>
        <w:t xml:space="preserve"> </w:t>
      </w:r>
      <w:r w:rsidRPr="00CC700E">
        <w:rPr>
          <w:rFonts w:asciiTheme="majorBidi" w:hAnsiTheme="majorBidi" w:cstheme="majorBidi"/>
          <w:sz w:val="22"/>
          <w:szCs w:val="22"/>
          <w:lang w:val="en-GB"/>
        </w:rPr>
        <w:t>not</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been</w:t>
      </w:r>
      <w:r w:rsidRPr="00CC700E">
        <w:rPr>
          <w:rFonts w:asciiTheme="majorBidi" w:hAnsiTheme="majorBidi" w:cstheme="majorBidi"/>
          <w:spacing w:val="-4"/>
          <w:sz w:val="22"/>
          <w:szCs w:val="22"/>
          <w:lang w:val="en-GB"/>
        </w:rPr>
        <w:t xml:space="preserve"> </w:t>
      </w:r>
      <w:r w:rsidRPr="00CC700E">
        <w:rPr>
          <w:rFonts w:asciiTheme="majorBidi" w:hAnsiTheme="majorBidi" w:cstheme="majorBidi"/>
          <w:sz w:val="22"/>
          <w:szCs w:val="22"/>
          <w:lang w:val="en-GB"/>
        </w:rPr>
        <w:t>published</w:t>
      </w:r>
      <w:r w:rsidRPr="00CC700E">
        <w:rPr>
          <w:rFonts w:asciiTheme="majorBidi" w:hAnsiTheme="majorBidi" w:cstheme="majorBidi"/>
          <w:spacing w:val="-1"/>
          <w:sz w:val="22"/>
          <w:szCs w:val="22"/>
          <w:lang w:val="en-GB"/>
        </w:rPr>
        <w:t xml:space="preserve"> </w:t>
      </w:r>
      <w:r w:rsidRPr="00CC700E">
        <w:rPr>
          <w:rFonts w:asciiTheme="majorBidi" w:hAnsiTheme="majorBidi" w:cstheme="majorBidi"/>
          <w:sz w:val="22"/>
          <w:szCs w:val="22"/>
          <w:lang w:val="en-GB"/>
        </w:rPr>
        <w:t>before.»</w:t>
      </w:r>
    </w:p>
    <w:p w14:paraId="3F5A1311" w14:textId="77777777" w:rsidR="00FF5A88" w:rsidRPr="00CC700E" w:rsidRDefault="00FF5A88" w:rsidP="004B5321">
      <w:pPr>
        <w:widowControl w:val="0"/>
        <w:tabs>
          <w:tab w:val="left" w:pos="822"/>
        </w:tabs>
        <w:autoSpaceDE w:val="0"/>
        <w:autoSpaceDN w:val="0"/>
        <w:spacing w:before="240" w:after="0" w:line="360" w:lineRule="auto"/>
        <w:ind w:right="295"/>
        <w:jc w:val="both"/>
        <w:rPr>
          <w:rFonts w:asciiTheme="majorBidi" w:hAnsiTheme="majorBidi" w:cstheme="majorBidi"/>
          <w:sz w:val="22"/>
          <w:szCs w:val="22"/>
          <w:lang w:val="fr-FR"/>
        </w:rPr>
      </w:pPr>
      <w:r w:rsidRPr="00CC700E">
        <w:rPr>
          <w:rFonts w:asciiTheme="majorBidi" w:hAnsiTheme="majorBidi" w:cstheme="majorBidi"/>
          <w:sz w:val="22"/>
          <w:szCs w:val="22"/>
          <w:lang w:val="fr-FR"/>
        </w:rPr>
        <w:t xml:space="preserve">In French : </w:t>
      </w:r>
    </w:p>
    <w:p w14:paraId="7D9A4691" w14:textId="02AD3880" w:rsidR="00FF5A88" w:rsidRPr="00CC700E" w:rsidRDefault="00FF5A88" w:rsidP="004B5321">
      <w:pPr>
        <w:widowControl w:val="0"/>
        <w:tabs>
          <w:tab w:val="left" w:pos="822"/>
        </w:tabs>
        <w:autoSpaceDE w:val="0"/>
        <w:autoSpaceDN w:val="0"/>
        <w:spacing w:before="240" w:after="0" w:line="360" w:lineRule="auto"/>
        <w:ind w:right="295"/>
        <w:jc w:val="both"/>
        <w:rPr>
          <w:rFonts w:asciiTheme="majorBidi" w:hAnsiTheme="majorBidi" w:cstheme="majorBidi"/>
          <w:sz w:val="22"/>
          <w:szCs w:val="22"/>
          <w:lang w:val="fr-FR"/>
        </w:rPr>
      </w:pPr>
      <w:r w:rsidRPr="00CC700E">
        <w:rPr>
          <w:rFonts w:asciiTheme="majorBidi" w:hAnsiTheme="majorBidi" w:cstheme="majorBidi"/>
          <w:sz w:val="22"/>
          <w:szCs w:val="22"/>
          <w:lang w:val="fr-FR"/>
        </w:rPr>
        <w:t>« Je certifie que : le Master Project soumis à évaluation est le fruit de mes propres recherches, que les données et les résultats présentés sont vrais et réellement obtenus par moi au cours de la recherche et que j'ai dûment reconnu, à l'aide de parenthèses et d'une bibliographie complète, tous les travaux , les idées et les résultats d’autres personnes sur lesquels je me suis appuyé sur les travaux, et que le Master Project n'a pas été présenté à un autre comité d'examen par le passé et n'a pas été publié auparavant. »</w:t>
      </w:r>
    </w:p>
    <w:p w14:paraId="6F838CA0" w14:textId="10AE9B4A" w:rsidR="00FF5A88" w:rsidRPr="00CC700E" w:rsidRDefault="00FF5A88" w:rsidP="00BF44EF">
      <w:pPr>
        <w:rPr>
          <w:rFonts w:asciiTheme="majorBidi" w:hAnsiTheme="majorBidi" w:cstheme="majorBidi"/>
          <w:noProof/>
          <w:sz w:val="22"/>
          <w:szCs w:val="22"/>
          <w:lang w:val="fr-FR"/>
        </w:rPr>
      </w:pPr>
      <w:r w:rsidRPr="00CC700E">
        <w:rPr>
          <w:rFonts w:asciiTheme="majorBidi" w:hAnsiTheme="majorBidi" w:cstheme="majorBidi"/>
          <w:noProof/>
          <w:sz w:val="22"/>
          <w:szCs w:val="22"/>
          <w:lang w:val="fr-FR"/>
        </w:rPr>
        <w:br w:type="page"/>
      </w:r>
    </w:p>
    <w:p w14:paraId="19E45648" w14:textId="77777777" w:rsidR="00BF44EF" w:rsidRDefault="00D43E68" w:rsidP="00BF44EF">
      <w:pPr>
        <w:spacing w:line="278" w:lineRule="auto"/>
        <w:rPr>
          <w:b/>
          <w:bCs/>
        </w:rPr>
      </w:pPr>
      <w:r w:rsidRPr="00970CFE">
        <w:rPr>
          <w:b/>
          <w:bCs/>
        </w:rPr>
        <w:lastRenderedPageBreak/>
        <w:t>Acknowledgements</w:t>
      </w:r>
    </w:p>
    <w:p w14:paraId="63D41B53" w14:textId="77191FC2" w:rsidR="00D43E68" w:rsidRPr="00970CFE" w:rsidRDefault="00D43E68" w:rsidP="004B5321">
      <w:pPr>
        <w:spacing w:line="360" w:lineRule="auto"/>
        <w:jc w:val="both"/>
      </w:pPr>
      <w:r w:rsidRPr="00970CFE">
        <w:t xml:space="preserve"> I am deeply grateful to Prof. Arnaud </w:t>
      </w:r>
      <w:proofErr w:type="spellStart"/>
      <w:r w:rsidRPr="00970CFE">
        <w:t>Dufays</w:t>
      </w:r>
      <w:proofErr w:type="spellEnd"/>
      <w:r w:rsidRPr="00970CFE">
        <w:t xml:space="preserve"> for his guidance and encouragement throughout this research. Thanks to my family for their unwavering support, and to colleagues and classmates at EDHEC Business School who provided valuable feedback. Finally, I appreciate the helpful comments from participants at the 2025 Master’s Thesis</w:t>
      </w:r>
    </w:p>
    <w:p w14:paraId="2E9399B3" w14:textId="32197918" w:rsidR="007D4947" w:rsidRDefault="007D4947" w:rsidP="00BF44EF">
      <w:pPr>
        <w:rPr>
          <w:rFonts w:asciiTheme="minorHAnsi" w:hAnsiTheme="minorHAnsi" w:cstheme="minorHAnsi"/>
          <w:noProof/>
          <w:sz w:val="22"/>
          <w:szCs w:val="22"/>
        </w:rPr>
      </w:pPr>
    </w:p>
    <w:p w14:paraId="4B430E4C" w14:textId="77777777" w:rsidR="00791D03" w:rsidRDefault="00791D03" w:rsidP="00BF44EF">
      <w:pPr>
        <w:rPr>
          <w:rFonts w:asciiTheme="minorHAnsi" w:hAnsiTheme="minorHAnsi" w:cstheme="minorHAnsi"/>
          <w:noProof/>
          <w:sz w:val="22"/>
          <w:szCs w:val="22"/>
        </w:rPr>
      </w:pPr>
    </w:p>
    <w:p w14:paraId="189141F5" w14:textId="77777777" w:rsidR="00791D03" w:rsidRDefault="00791D03" w:rsidP="00BF44EF">
      <w:pPr>
        <w:rPr>
          <w:rFonts w:asciiTheme="minorHAnsi" w:hAnsiTheme="minorHAnsi" w:cstheme="minorHAnsi"/>
          <w:noProof/>
          <w:sz w:val="22"/>
          <w:szCs w:val="22"/>
        </w:rPr>
      </w:pPr>
    </w:p>
    <w:p w14:paraId="5B7281D7" w14:textId="77777777" w:rsidR="00791D03" w:rsidRDefault="00791D03" w:rsidP="00BF44EF">
      <w:pPr>
        <w:rPr>
          <w:rFonts w:asciiTheme="minorHAnsi" w:hAnsiTheme="minorHAnsi" w:cstheme="minorHAnsi"/>
          <w:noProof/>
          <w:sz w:val="22"/>
          <w:szCs w:val="22"/>
        </w:rPr>
      </w:pPr>
    </w:p>
    <w:p w14:paraId="43230A17" w14:textId="77777777" w:rsidR="00791D03" w:rsidRDefault="00791D03" w:rsidP="00BF44EF">
      <w:pPr>
        <w:rPr>
          <w:rFonts w:asciiTheme="minorHAnsi" w:hAnsiTheme="minorHAnsi" w:cstheme="minorHAnsi"/>
          <w:noProof/>
          <w:sz w:val="22"/>
          <w:szCs w:val="22"/>
        </w:rPr>
      </w:pPr>
    </w:p>
    <w:p w14:paraId="67211AD7" w14:textId="77777777" w:rsidR="00791D03" w:rsidRDefault="00791D03" w:rsidP="00BF44EF">
      <w:pPr>
        <w:rPr>
          <w:rFonts w:asciiTheme="minorHAnsi" w:hAnsiTheme="minorHAnsi" w:cstheme="minorHAnsi"/>
          <w:noProof/>
          <w:sz w:val="22"/>
          <w:szCs w:val="22"/>
        </w:rPr>
      </w:pPr>
    </w:p>
    <w:p w14:paraId="7F3393CF" w14:textId="77777777" w:rsidR="00791D03" w:rsidRDefault="00791D03" w:rsidP="00BF44EF">
      <w:pPr>
        <w:rPr>
          <w:rFonts w:asciiTheme="minorHAnsi" w:hAnsiTheme="minorHAnsi" w:cstheme="minorHAnsi"/>
          <w:noProof/>
          <w:sz w:val="22"/>
          <w:szCs w:val="22"/>
        </w:rPr>
      </w:pPr>
    </w:p>
    <w:p w14:paraId="21E6484A" w14:textId="77777777" w:rsidR="00791D03" w:rsidRDefault="00791D03" w:rsidP="00BF44EF">
      <w:pPr>
        <w:rPr>
          <w:rFonts w:asciiTheme="minorHAnsi" w:hAnsiTheme="minorHAnsi" w:cstheme="minorHAnsi"/>
          <w:noProof/>
          <w:sz w:val="22"/>
          <w:szCs w:val="22"/>
        </w:rPr>
      </w:pPr>
    </w:p>
    <w:p w14:paraId="560D29EF" w14:textId="77777777" w:rsidR="00791D03" w:rsidRDefault="00791D03" w:rsidP="00BF44EF">
      <w:pPr>
        <w:rPr>
          <w:rFonts w:asciiTheme="minorHAnsi" w:hAnsiTheme="minorHAnsi" w:cstheme="minorHAnsi"/>
          <w:noProof/>
          <w:sz w:val="22"/>
          <w:szCs w:val="22"/>
        </w:rPr>
      </w:pPr>
    </w:p>
    <w:p w14:paraId="1622A1FB" w14:textId="77777777" w:rsidR="00791D03" w:rsidRDefault="00791D03" w:rsidP="00BF44EF">
      <w:pPr>
        <w:rPr>
          <w:rFonts w:asciiTheme="minorHAnsi" w:hAnsiTheme="minorHAnsi" w:cstheme="minorHAnsi"/>
          <w:noProof/>
          <w:sz w:val="22"/>
          <w:szCs w:val="22"/>
        </w:rPr>
      </w:pPr>
    </w:p>
    <w:p w14:paraId="0765C688" w14:textId="77777777" w:rsidR="00791D03" w:rsidRDefault="00791D03" w:rsidP="00BF44EF">
      <w:pPr>
        <w:rPr>
          <w:rFonts w:asciiTheme="minorHAnsi" w:hAnsiTheme="minorHAnsi" w:cstheme="minorHAnsi"/>
          <w:noProof/>
          <w:sz w:val="22"/>
          <w:szCs w:val="22"/>
        </w:rPr>
      </w:pPr>
    </w:p>
    <w:p w14:paraId="0DC54CCF" w14:textId="77777777" w:rsidR="00791D03" w:rsidRDefault="00791D03" w:rsidP="00BF44EF">
      <w:pPr>
        <w:rPr>
          <w:rFonts w:asciiTheme="minorHAnsi" w:hAnsiTheme="minorHAnsi" w:cstheme="minorHAnsi"/>
          <w:noProof/>
          <w:sz w:val="22"/>
          <w:szCs w:val="22"/>
        </w:rPr>
      </w:pPr>
    </w:p>
    <w:p w14:paraId="23F00770" w14:textId="4BF0A442" w:rsidR="00791D03" w:rsidRDefault="00791D03" w:rsidP="00BF44EF">
      <w:pPr>
        <w:rPr>
          <w:rFonts w:asciiTheme="minorHAnsi" w:hAnsiTheme="minorHAnsi" w:cstheme="minorHAnsi"/>
          <w:noProof/>
          <w:sz w:val="22"/>
          <w:szCs w:val="22"/>
        </w:rPr>
      </w:pPr>
    </w:p>
    <w:p w14:paraId="77E62C11" w14:textId="77777777" w:rsidR="00791D03" w:rsidRDefault="00791D03" w:rsidP="00BF44EF">
      <w:pPr>
        <w:rPr>
          <w:rFonts w:asciiTheme="minorHAnsi" w:hAnsiTheme="minorHAnsi" w:cstheme="minorHAnsi"/>
          <w:noProof/>
          <w:sz w:val="22"/>
          <w:szCs w:val="22"/>
        </w:rPr>
      </w:pPr>
    </w:p>
    <w:p w14:paraId="260E13C8" w14:textId="77777777" w:rsidR="00791D03" w:rsidRDefault="00791D03" w:rsidP="00BF44EF">
      <w:pPr>
        <w:rPr>
          <w:rFonts w:asciiTheme="minorHAnsi" w:hAnsiTheme="minorHAnsi" w:cstheme="minorHAnsi"/>
          <w:noProof/>
          <w:sz w:val="22"/>
          <w:szCs w:val="22"/>
        </w:rPr>
      </w:pPr>
    </w:p>
    <w:p w14:paraId="43985538" w14:textId="77777777" w:rsidR="00791D03" w:rsidRDefault="00791D03" w:rsidP="00BF44EF">
      <w:pPr>
        <w:rPr>
          <w:rFonts w:asciiTheme="minorHAnsi" w:hAnsiTheme="minorHAnsi" w:cstheme="minorHAnsi"/>
          <w:noProof/>
          <w:sz w:val="22"/>
          <w:szCs w:val="22"/>
        </w:rPr>
      </w:pPr>
    </w:p>
    <w:p w14:paraId="0CBD06DD" w14:textId="77777777" w:rsidR="00791D03" w:rsidRDefault="00791D03" w:rsidP="00BF44EF">
      <w:pPr>
        <w:rPr>
          <w:rFonts w:asciiTheme="minorHAnsi" w:hAnsiTheme="minorHAnsi" w:cstheme="minorHAnsi"/>
          <w:noProof/>
          <w:sz w:val="22"/>
          <w:szCs w:val="22"/>
        </w:rPr>
      </w:pPr>
    </w:p>
    <w:p w14:paraId="4F14545E" w14:textId="77777777" w:rsidR="00791D03" w:rsidRDefault="00791D03" w:rsidP="00BF44EF">
      <w:pPr>
        <w:rPr>
          <w:rFonts w:asciiTheme="minorHAnsi" w:hAnsiTheme="minorHAnsi" w:cstheme="minorHAnsi"/>
          <w:noProof/>
          <w:sz w:val="22"/>
          <w:szCs w:val="22"/>
        </w:rPr>
      </w:pPr>
    </w:p>
    <w:p w14:paraId="3686167E" w14:textId="60A26859" w:rsidR="00791D03" w:rsidRDefault="00791D03" w:rsidP="00BF44EF">
      <w:pPr>
        <w:rPr>
          <w:rFonts w:asciiTheme="minorHAnsi" w:hAnsiTheme="minorHAnsi" w:cstheme="minorHAnsi"/>
          <w:noProof/>
          <w:sz w:val="22"/>
          <w:szCs w:val="22"/>
        </w:rPr>
      </w:pPr>
    </w:p>
    <w:p w14:paraId="35AEF9E6" w14:textId="77777777" w:rsidR="00791D03" w:rsidRDefault="00791D03" w:rsidP="00BF44EF">
      <w:pPr>
        <w:rPr>
          <w:rFonts w:asciiTheme="minorHAnsi" w:hAnsiTheme="minorHAnsi" w:cstheme="minorHAnsi"/>
          <w:noProof/>
          <w:sz w:val="22"/>
          <w:szCs w:val="22"/>
        </w:rPr>
      </w:pPr>
    </w:p>
    <w:p w14:paraId="7B392345" w14:textId="77777777" w:rsidR="00791D03" w:rsidRDefault="00791D03" w:rsidP="00BF44EF">
      <w:pPr>
        <w:rPr>
          <w:rFonts w:asciiTheme="minorHAnsi" w:hAnsiTheme="minorHAnsi" w:cstheme="minorHAnsi"/>
          <w:noProof/>
          <w:sz w:val="22"/>
          <w:szCs w:val="22"/>
        </w:rPr>
      </w:pPr>
    </w:p>
    <w:p w14:paraId="75E176CB" w14:textId="77777777" w:rsidR="00791D03" w:rsidRDefault="00791D03" w:rsidP="00BF44EF">
      <w:pPr>
        <w:rPr>
          <w:rFonts w:asciiTheme="minorHAnsi" w:hAnsiTheme="minorHAnsi" w:cstheme="minorHAnsi"/>
          <w:noProof/>
          <w:sz w:val="22"/>
          <w:szCs w:val="22"/>
        </w:rPr>
      </w:pPr>
    </w:p>
    <w:p w14:paraId="752B4168" w14:textId="77777777" w:rsidR="00791D03" w:rsidRDefault="00791D03" w:rsidP="00BF44EF">
      <w:pPr>
        <w:rPr>
          <w:rFonts w:asciiTheme="minorHAnsi" w:hAnsiTheme="minorHAnsi" w:cstheme="minorHAnsi"/>
          <w:noProof/>
          <w:sz w:val="22"/>
          <w:szCs w:val="22"/>
        </w:rPr>
      </w:pPr>
    </w:p>
    <w:p w14:paraId="1F5DE274" w14:textId="77777777" w:rsidR="00791D03" w:rsidRDefault="00791D03" w:rsidP="00BF44EF">
      <w:pPr>
        <w:rPr>
          <w:rFonts w:asciiTheme="minorHAnsi" w:hAnsiTheme="minorHAnsi" w:cstheme="minorHAnsi"/>
          <w:noProof/>
          <w:sz w:val="22"/>
          <w:szCs w:val="22"/>
        </w:rPr>
      </w:pPr>
    </w:p>
    <w:p w14:paraId="70A3384F" w14:textId="77777777" w:rsidR="0036128C" w:rsidRDefault="002039E9" w:rsidP="0036128C">
      <w:pPr>
        <w:pStyle w:val="Heading1"/>
        <w:spacing w:after="240" w:line="480" w:lineRule="auto"/>
        <w:rPr>
          <w:rFonts w:asciiTheme="minorHAnsi" w:hAnsiTheme="minorHAnsi" w:cstheme="minorHAnsi"/>
          <w:noProof/>
          <w:szCs w:val="28"/>
          <w:lang w:val="en-GB"/>
        </w:rPr>
      </w:pPr>
      <w:bookmarkStart w:id="1" w:name="_Toc171088139"/>
      <w:bookmarkStart w:id="2" w:name="_Toc200659188"/>
      <w:bookmarkStart w:id="3" w:name="_Toc200973147"/>
      <w:bookmarkEnd w:id="0"/>
      <w:r w:rsidRPr="0036128C">
        <w:rPr>
          <w:rFonts w:asciiTheme="minorHAnsi" w:hAnsiTheme="minorHAnsi" w:cstheme="minorHAnsi"/>
          <w:noProof/>
          <w:szCs w:val="28"/>
          <w:lang w:val="en-GB"/>
        </w:rPr>
        <w:lastRenderedPageBreak/>
        <w:t>Abstract</w:t>
      </w:r>
      <w:bookmarkEnd w:id="1"/>
      <w:bookmarkEnd w:id="2"/>
      <w:bookmarkEnd w:id="3"/>
    </w:p>
    <w:p w14:paraId="038F0420" w14:textId="42E239DF" w:rsidR="003A3432" w:rsidRPr="00B60237" w:rsidRDefault="003A3432" w:rsidP="00B60237">
      <w:pPr>
        <w:spacing w:line="360" w:lineRule="auto"/>
        <w:jc w:val="both"/>
        <w:rPr>
          <w:sz w:val="2"/>
          <w:szCs w:val="2"/>
          <w:lang w:val="en-GB"/>
        </w:rPr>
      </w:pPr>
      <w:r w:rsidRPr="00B60237">
        <w:rPr>
          <w:szCs w:val="24"/>
        </w:rPr>
        <w:t>This thesis examines whether episodes of rupee overvaluation and rapid private-credit expansion signal financial instability in India during 2014–2024. Monthly data on the INR–USD exchange rate, private-sector credit, and market interest rates are analysed with a Vector Autoregression (VAR). For each rolling three-year window, the credit coefficient in the exchange-rate equation and, symmetrically, the exchange-rate coefficient in the credit equation are extracted. A CUSUM test is then applied to each coefficient series to detect structural breaks in their average levels. Detected break dates are compared with documented stress episodes such as the 2018 IL&amp;FS liquidity crunch and the March-2020 COVID-19 shock. The approach clarifies whether shifts in the credit-to-currency and currency-to-credit channels coincide with real-world crises, thereby shedding light on the early-warning value of credit and exchange-rate dynamics for India’s financial stability.</w:t>
      </w:r>
    </w:p>
    <w:p w14:paraId="16B918BC" w14:textId="645A9EE8" w:rsidR="00D43E68" w:rsidRPr="003A3432" w:rsidRDefault="00D43E68" w:rsidP="004B5321">
      <w:pPr>
        <w:spacing w:line="360" w:lineRule="auto"/>
        <w:jc w:val="both"/>
        <w:rPr>
          <w:szCs w:val="24"/>
        </w:rPr>
      </w:pPr>
      <w:r w:rsidRPr="00970CFE">
        <w:rPr>
          <w:b/>
          <w:bCs/>
        </w:rPr>
        <w:t>Keywords:</w:t>
      </w:r>
      <w:r w:rsidRPr="00970CFE">
        <w:t> Exchange Rate, Private Lending, Financial Instability, VAR, India</w:t>
      </w:r>
    </w:p>
    <w:p w14:paraId="075AD31F" w14:textId="149B7E8D" w:rsidR="00791D03" w:rsidRPr="00791D03" w:rsidRDefault="002039E9" w:rsidP="00791D03">
      <w:pPr>
        <w:spacing w:line="480" w:lineRule="auto"/>
        <w:rPr>
          <w:rFonts w:asciiTheme="minorHAnsi" w:hAnsiTheme="minorHAnsi" w:cstheme="minorHAnsi"/>
          <w:noProof/>
          <w:sz w:val="22"/>
          <w:szCs w:val="22"/>
          <w:lang w:val="en-GB"/>
        </w:rPr>
      </w:pPr>
      <w:r w:rsidRPr="00296723">
        <w:rPr>
          <w:rFonts w:asciiTheme="minorHAnsi" w:hAnsiTheme="minorHAnsi" w:cstheme="minorHAnsi"/>
          <w:noProof/>
          <w:sz w:val="22"/>
          <w:szCs w:val="22"/>
          <w:lang w:val="en-GB"/>
        </w:rPr>
        <w:br w:type="page"/>
      </w:r>
    </w:p>
    <w:sdt>
      <w:sdtPr>
        <w:rPr>
          <w:rFonts w:ascii="Times New Roman" w:eastAsiaTheme="minorHAnsi" w:hAnsi="Times New Roman" w:cstheme="minorBidi"/>
          <w:b w:val="0"/>
          <w:bCs w:val="0"/>
          <w:color w:val="auto"/>
          <w:sz w:val="24"/>
          <w:szCs w:val="20"/>
          <w:lang w:val="en-ID" w:bidi="hi-IN"/>
        </w:rPr>
        <w:id w:val="1437564149"/>
        <w:docPartObj>
          <w:docPartGallery w:val="Table of Contents"/>
          <w:docPartUnique/>
        </w:docPartObj>
      </w:sdtPr>
      <w:sdtEndPr>
        <w:rPr>
          <w:noProof/>
        </w:rPr>
      </w:sdtEndPr>
      <w:sdtContent>
        <w:p w14:paraId="42620CDA" w14:textId="77777777" w:rsidR="00791D03" w:rsidRDefault="00791D03" w:rsidP="00791D03">
          <w:pPr>
            <w:pStyle w:val="TOCHeading"/>
          </w:pPr>
          <w:r>
            <w:t>Table of Contents</w:t>
          </w:r>
        </w:p>
        <w:p w14:paraId="632D5F08" w14:textId="0E849096" w:rsidR="0036128C" w:rsidRDefault="00791D03">
          <w:pPr>
            <w:pStyle w:val="TOC1"/>
            <w:tabs>
              <w:tab w:val="right" w:leader="dot" w:pos="9062"/>
            </w:tabs>
            <w:rPr>
              <w:rFonts w:eastAsiaTheme="minorEastAsia" w:cstheme="minorBidi"/>
              <w:b w:val="0"/>
              <w:bCs w:val="0"/>
              <w:i w:val="0"/>
              <w:iCs w:val="0"/>
              <w:noProof/>
              <w:kern w:val="2"/>
              <w:szCs w:val="24"/>
              <w:lang w:val="en-US" w:bidi="ar-SA"/>
              <w14:ligatures w14:val="standardContextual"/>
            </w:rPr>
          </w:pPr>
          <w:r>
            <w:rPr>
              <w:b w:val="0"/>
              <w:bCs w:val="0"/>
            </w:rPr>
            <w:fldChar w:fldCharType="begin"/>
          </w:r>
          <w:r>
            <w:instrText xml:space="preserve"> TOC \o "1-3" \h \z \u </w:instrText>
          </w:r>
          <w:r>
            <w:rPr>
              <w:b w:val="0"/>
              <w:bCs w:val="0"/>
            </w:rPr>
            <w:fldChar w:fldCharType="separate"/>
          </w:r>
          <w:hyperlink w:anchor="_Toc200973147" w:history="1">
            <w:r w:rsidR="0036128C" w:rsidRPr="00EC1059">
              <w:rPr>
                <w:rStyle w:val="Hyperlink"/>
                <w:rFonts w:cstheme="minorHAnsi"/>
                <w:noProof/>
                <w:lang w:val="en-GB"/>
              </w:rPr>
              <w:t>Abstract</w:t>
            </w:r>
            <w:r w:rsidR="0036128C">
              <w:rPr>
                <w:noProof/>
                <w:webHidden/>
              </w:rPr>
              <w:tab/>
            </w:r>
            <w:r w:rsidR="0036128C">
              <w:rPr>
                <w:noProof/>
                <w:webHidden/>
              </w:rPr>
              <w:fldChar w:fldCharType="begin"/>
            </w:r>
            <w:r w:rsidR="0036128C">
              <w:rPr>
                <w:noProof/>
                <w:webHidden/>
              </w:rPr>
              <w:instrText xml:space="preserve"> PAGEREF _Toc200973147 \h </w:instrText>
            </w:r>
            <w:r w:rsidR="0036128C">
              <w:rPr>
                <w:noProof/>
                <w:webHidden/>
              </w:rPr>
            </w:r>
            <w:r w:rsidR="0036128C">
              <w:rPr>
                <w:noProof/>
                <w:webHidden/>
              </w:rPr>
              <w:fldChar w:fldCharType="separate"/>
            </w:r>
            <w:r w:rsidR="0036128C">
              <w:rPr>
                <w:noProof/>
                <w:webHidden/>
              </w:rPr>
              <w:t>3</w:t>
            </w:r>
            <w:r w:rsidR="0036128C">
              <w:rPr>
                <w:noProof/>
                <w:webHidden/>
              </w:rPr>
              <w:fldChar w:fldCharType="end"/>
            </w:r>
          </w:hyperlink>
        </w:p>
        <w:p w14:paraId="5EA39656" w14:textId="489BA887"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48" w:history="1">
            <w:r w:rsidR="0036128C" w:rsidRPr="00EC1059">
              <w:rPr>
                <w:rStyle w:val="Hyperlink"/>
                <w:noProof/>
              </w:rPr>
              <w:t>1. Introduction</w:t>
            </w:r>
            <w:r w:rsidR="0036128C">
              <w:rPr>
                <w:noProof/>
                <w:webHidden/>
              </w:rPr>
              <w:tab/>
            </w:r>
            <w:r w:rsidR="0036128C">
              <w:rPr>
                <w:noProof/>
                <w:webHidden/>
              </w:rPr>
              <w:fldChar w:fldCharType="begin"/>
            </w:r>
            <w:r w:rsidR="0036128C">
              <w:rPr>
                <w:noProof/>
                <w:webHidden/>
              </w:rPr>
              <w:instrText xml:space="preserve"> PAGEREF _Toc200973148 \h </w:instrText>
            </w:r>
            <w:r w:rsidR="0036128C">
              <w:rPr>
                <w:noProof/>
                <w:webHidden/>
              </w:rPr>
            </w:r>
            <w:r w:rsidR="0036128C">
              <w:rPr>
                <w:noProof/>
                <w:webHidden/>
              </w:rPr>
              <w:fldChar w:fldCharType="separate"/>
            </w:r>
            <w:r w:rsidR="0036128C">
              <w:rPr>
                <w:noProof/>
                <w:webHidden/>
              </w:rPr>
              <w:t>6</w:t>
            </w:r>
            <w:r w:rsidR="0036128C">
              <w:rPr>
                <w:noProof/>
                <w:webHidden/>
              </w:rPr>
              <w:fldChar w:fldCharType="end"/>
            </w:r>
          </w:hyperlink>
        </w:p>
        <w:p w14:paraId="44CB58AE" w14:textId="4AD04AF7"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49" w:history="1">
            <w:r w:rsidR="0036128C" w:rsidRPr="00EC1059">
              <w:rPr>
                <w:rStyle w:val="Hyperlink"/>
                <w:noProof/>
              </w:rPr>
              <w:t>1.1 Context and Motivation</w:t>
            </w:r>
            <w:r w:rsidR="0036128C">
              <w:rPr>
                <w:noProof/>
                <w:webHidden/>
              </w:rPr>
              <w:tab/>
            </w:r>
            <w:r w:rsidR="0036128C">
              <w:rPr>
                <w:noProof/>
                <w:webHidden/>
              </w:rPr>
              <w:fldChar w:fldCharType="begin"/>
            </w:r>
            <w:r w:rsidR="0036128C">
              <w:rPr>
                <w:noProof/>
                <w:webHidden/>
              </w:rPr>
              <w:instrText xml:space="preserve"> PAGEREF _Toc200973149 \h </w:instrText>
            </w:r>
            <w:r w:rsidR="0036128C">
              <w:rPr>
                <w:noProof/>
                <w:webHidden/>
              </w:rPr>
            </w:r>
            <w:r w:rsidR="0036128C">
              <w:rPr>
                <w:noProof/>
                <w:webHidden/>
              </w:rPr>
              <w:fldChar w:fldCharType="separate"/>
            </w:r>
            <w:r w:rsidR="0036128C">
              <w:rPr>
                <w:noProof/>
                <w:webHidden/>
              </w:rPr>
              <w:t>6</w:t>
            </w:r>
            <w:r w:rsidR="0036128C">
              <w:rPr>
                <w:noProof/>
                <w:webHidden/>
              </w:rPr>
              <w:fldChar w:fldCharType="end"/>
            </w:r>
          </w:hyperlink>
        </w:p>
        <w:p w14:paraId="4815D338" w14:textId="4055ECAC"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0" w:history="1">
            <w:r w:rsidR="0036128C" w:rsidRPr="00EC1059">
              <w:rPr>
                <w:rStyle w:val="Hyperlink"/>
                <w:noProof/>
              </w:rPr>
              <w:t>1.2 Research Question and Objectives</w:t>
            </w:r>
            <w:r w:rsidR="0036128C">
              <w:rPr>
                <w:noProof/>
                <w:webHidden/>
              </w:rPr>
              <w:tab/>
            </w:r>
            <w:r w:rsidR="0036128C">
              <w:rPr>
                <w:noProof/>
                <w:webHidden/>
              </w:rPr>
              <w:fldChar w:fldCharType="begin"/>
            </w:r>
            <w:r w:rsidR="0036128C">
              <w:rPr>
                <w:noProof/>
                <w:webHidden/>
              </w:rPr>
              <w:instrText xml:space="preserve"> PAGEREF _Toc200973150 \h </w:instrText>
            </w:r>
            <w:r w:rsidR="0036128C">
              <w:rPr>
                <w:noProof/>
                <w:webHidden/>
              </w:rPr>
            </w:r>
            <w:r w:rsidR="0036128C">
              <w:rPr>
                <w:noProof/>
                <w:webHidden/>
              </w:rPr>
              <w:fldChar w:fldCharType="separate"/>
            </w:r>
            <w:r w:rsidR="0036128C">
              <w:rPr>
                <w:noProof/>
                <w:webHidden/>
              </w:rPr>
              <w:t>7</w:t>
            </w:r>
            <w:r w:rsidR="0036128C">
              <w:rPr>
                <w:noProof/>
                <w:webHidden/>
              </w:rPr>
              <w:fldChar w:fldCharType="end"/>
            </w:r>
          </w:hyperlink>
        </w:p>
        <w:p w14:paraId="0854D42E" w14:textId="780580C5"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1" w:history="1">
            <w:r w:rsidR="0036128C" w:rsidRPr="00EC1059">
              <w:rPr>
                <w:rStyle w:val="Hyperlink"/>
                <w:noProof/>
              </w:rPr>
              <w:t>1.3 Background and Historical Development</w:t>
            </w:r>
            <w:r w:rsidR="0036128C">
              <w:rPr>
                <w:noProof/>
                <w:webHidden/>
              </w:rPr>
              <w:tab/>
            </w:r>
            <w:r w:rsidR="0036128C">
              <w:rPr>
                <w:noProof/>
                <w:webHidden/>
              </w:rPr>
              <w:fldChar w:fldCharType="begin"/>
            </w:r>
            <w:r w:rsidR="0036128C">
              <w:rPr>
                <w:noProof/>
                <w:webHidden/>
              </w:rPr>
              <w:instrText xml:space="preserve"> PAGEREF _Toc200973151 \h </w:instrText>
            </w:r>
            <w:r w:rsidR="0036128C">
              <w:rPr>
                <w:noProof/>
                <w:webHidden/>
              </w:rPr>
            </w:r>
            <w:r w:rsidR="0036128C">
              <w:rPr>
                <w:noProof/>
                <w:webHidden/>
              </w:rPr>
              <w:fldChar w:fldCharType="separate"/>
            </w:r>
            <w:r w:rsidR="0036128C">
              <w:rPr>
                <w:noProof/>
                <w:webHidden/>
              </w:rPr>
              <w:t>8</w:t>
            </w:r>
            <w:r w:rsidR="0036128C">
              <w:rPr>
                <w:noProof/>
                <w:webHidden/>
              </w:rPr>
              <w:fldChar w:fldCharType="end"/>
            </w:r>
          </w:hyperlink>
        </w:p>
        <w:p w14:paraId="395C8B1B" w14:textId="71DEFF0A"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2" w:history="1">
            <w:r w:rsidR="0036128C" w:rsidRPr="00EC1059">
              <w:rPr>
                <w:rStyle w:val="Hyperlink"/>
                <w:noProof/>
              </w:rPr>
              <w:t>1.4 Importance and Contribution of the Study</w:t>
            </w:r>
            <w:r w:rsidR="0036128C">
              <w:rPr>
                <w:noProof/>
                <w:webHidden/>
              </w:rPr>
              <w:tab/>
            </w:r>
            <w:r w:rsidR="0036128C">
              <w:rPr>
                <w:noProof/>
                <w:webHidden/>
              </w:rPr>
              <w:fldChar w:fldCharType="begin"/>
            </w:r>
            <w:r w:rsidR="0036128C">
              <w:rPr>
                <w:noProof/>
                <w:webHidden/>
              </w:rPr>
              <w:instrText xml:space="preserve"> PAGEREF _Toc200973152 \h </w:instrText>
            </w:r>
            <w:r w:rsidR="0036128C">
              <w:rPr>
                <w:noProof/>
                <w:webHidden/>
              </w:rPr>
            </w:r>
            <w:r w:rsidR="0036128C">
              <w:rPr>
                <w:noProof/>
                <w:webHidden/>
              </w:rPr>
              <w:fldChar w:fldCharType="separate"/>
            </w:r>
            <w:r w:rsidR="0036128C">
              <w:rPr>
                <w:noProof/>
                <w:webHidden/>
              </w:rPr>
              <w:t>8</w:t>
            </w:r>
            <w:r w:rsidR="0036128C">
              <w:rPr>
                <w:noProof/>
                <w:webHidden/>
              </w:rPr>
              <w:fldChar w:fldCharType="end"/>
            </w:r>
          </w:hyperlink>
        </w:p>
        <w:p w14:paraId="2E514C99" w14:textId="02E2AFDC"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53" w:history="1">
            <w:r w:rsidR="0036128C" w:rsidRPr="00EC1059">
              <w:rPr>
                <w:rStyle w:val="Hyperlink"/>
                <w:noProof/>
              </w:rPr>
              <w:t>2. Literature Review</w:t>
            </w:r>
            <w:r w:rsidR="0036128C">
              <w:rPr>
                <w:noProof/>
                <w:webHidden/>
              </w:rPr>
              <w:tab/>
            </w:r>
            <w:r w:rsidR="0036128C">
              <w:rPr>
                <w:noProof/>
                <w:webHidden/>
              </w:rPr>
              <w:fldChar w:fldCharType="begin"/>
            </w:r>
            <w:r w:rsidR="0036128C">
              <w:rPr>
                <w:noProof/>
                <w:webHidden/>
              </w:rPr>
              <w:instrText xml:space="preserve"> PAGEREF _Toc200973153 \h </w:instrText>
            </w:r>
            <w:r w:rsidR="0036128C">
              <w:rPr>
                <w:noProof/>
                <w:webHidden/>
              </w:rPr>
            </w:r>
            <w:r w:rsidR="0036128C">
              <w:rPr>
                <w:noProof/>
                <w:webHidden/>
              </w:rPr>
              <w:fldChar w:fldCharType="separate"/>
            </w:r>
            <w:r w:rsidR="0036128C">
              <w:rPr>
                <w:noProof/>
                <w:webHidden/>
              </w:rPr>
              <w:t>10</w:t>
            </w:r>
            <w:r w:rsidR="0036128C">
              <w:rPr>
                <w:noProof/>
                <w:webHidden/>
              </w:rPr>
              <w:fldChar w:fldCharType="end"/>
            </w:r>
          </w:hyperlink>
        </w:p>
        <w:p w14:paraId="7FF44F7D" w14:textId="11953A68"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4" w:history="1">
            <w:r w:rsidR="0036128C" w:rsidRPr="00EC1059">
              <w:rPr>
                <w:rStyle w:val="Hyperlink"/>
                <w:noProof/>
                <w:lang w:val="en-US"/>
              </w:rPr>
              <w:t>2.1 Theoretical Frameworks: Financial Channels Linking Credit and Currency</w:t>
            </w:r>
            <w:r w:rsidR="0036128C">
              <w:rPr>
                <w:noProof/>
                <w:webHidden/>
              </w:rPr>
              <w:tab/>
            </w:r>
            <w:r w:rsidR="0036128C">
              <w:rPr>
                <w:noProof/>
                <w:webHidden/>
              </w:rPr>
              <w:fldChar w:fldCharType="begin"/>
            </w:r>
            <w:r w:rsidR="0036128C">
              <w:rPr>
                <w:noProof/>
                <w:webHidden/>
              </w:rPr>
              <w:instrText xml:space="preserve"> PAGEREF _Toc200973154 \h </w:instrText>
            </w:r>
            <w:r w:rsidR="0036128C">
              <w:rPr>
                <w:noProof/>
                <w:webHidden/>
              </w:rPr>
            </w:r>
            <w:r w:rsidR="0036128C">
              <w:rPr>
                <w:noProof/>
                <w:webHidden/>
              </w:rPr>
              <w:fldChar w:fldCharType="separate"/>
            </w:r>
            <w:r w:rsidR="0036128C">
              <w:rPr>
                <w:noProof/>
                <w:webHidden/>
              </w:rPr>
              <w:t>10</w:t>
            </w:r>
            <w:r w:rsidR="0036128C">
              <w:rPr>
                <w:noProof/>
                <w:webHidden/>
              </w:rPr>
              <w:fldChar w:fldCharType="end"/>
            </w:r>
          </w:hyperlink>
        </w:p>
        <w:p w14:paraId="5A9A5A4E" w14:textId="5D363815"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5" w:history="1">
            <w:r w:rsidR="0036128C" w:rsidRPr="00EC1059">
              <w:rPr>
                <w:rStyle w:val="Hyperlink"/>
                <w:noProof/>
                <w:lang w:val="en-US"/>
              </w:rPr>
              <w:t>2.2 Macroprudential Policy and the Credit Cycle</w:t>
            </w:r>
            <w:r w:rsidR="0036128C">
              <w:rPr>
                <w:noProof/>
                <w:webHidden/>
              </w:rPr>
              <w:tab/>
            </w:r>
            <w:r w:rsidR="0036128C">
              <w:rPr>
                <w:noProof/>
                <w:webHidden/>
              </w:rPr>
              <w:fldChar w:fldCharType="begin"/>
            </w:r>
            <w:r w:rsidR="0036128C">
              <w:rPr>
                <w:noProof/>
                <w:webHidden/>
              </w:rPr>
              <w:instrText xml:space="preserve"> PAGEREF _Toc200973155 \h </w:instrText>
            </w:r>
            <w:r w:rsidR="0036128C">
              <w:rPr>
                <w:noProof/>
                <w:webHidden/>
              </w:rPr>
            </w:r>
            <w:r w:rsidR="0036128C">
              <w:rPr>
                <w:noProof/>
                <w:webHidden/>
              </w:rPr>
              <w:fldChar w:fldCharType="separate"/>
            </w:r>
            <w:r w:rsidR="0036128C">
              <w:rPr>
                <w:noProof/>
                <w:webHidden/>
              </w:rPr>
              <w:t>12</w:t>
            </w:r>
            <w:r w:rsidR="0036128C">
              <w:rPr>
                <w:noProof/>
                <w:webHidden/>
              </w:rPr>
              <w:fldChar w:fldCharType="end"/>
            </w:r>
          </w:hyperlink>
        </w:p>
        <w:p w14:paraId="6E8751C0" w14:textId="19973AD1"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6" w:history="1">
            <w:r w:rsidR="0036128C" w:rsidRPr="00EC1059">
              <w:rPr>
                <w:rStyle w:val="Hyperlink"/>
                <w:noProof/>
                <w:lang w:val="en-US"/>
              </w:rPr>
              <w:t>2.3 Empirical Evidence: Global Patterns and Regional Lessons</w:t>
            </w:r>
            <w:r w:rsidR="0036128C">
              <w:rPr>
                <w:noProof/>
                <w:webHidden/>
              </w:rPr>
              <w:tab/>
            </w:r>
            <w:r w:rsidR="0036128C">
              <w:rPr>
                <w:noProof/>
                <w:webHidden/>
              </w:rPr>
              <w:fldChar w:fldCharType="begin"/>
            </w:r>
            <w:r w:rsidR="0036128C">
              <w:rPr>
                <w:noProof/>
                <w:webHidden/>
              </w:rPr>
              <w:instrText xml:space="preserve"> PAGEREF _Toc200973156 \h </w:instrText>
            </w:r>
            <w:r w:rsidR="0036128C">
              <w:rPr>
                <w:noProof/>
                <w:webHidden/>
              </w:rPr>
            </w:r>
            <w:r w:rsidR="0036128C">
              <w:rPr>
                <w:noProof/>
                <w:webHidden/>
              </w:rPr>
              <w:fldChar w:fldCharType="separate"/>
            </w:r>
            <w:r w:rsidR="0036128C">
              <w:rPr>
                <w:noProof/>
                <w:webHidden/>
              </w:rPr>
              <w:t>14</w:t>
            </w:r>
            <w:r w:rsidR="0036128C">
              <w:rPr>
                <w:noProof/>
                <w:webHidden/>
              </w:rPr>
              <w:fldChar w:fldCharType="end"/>
            </w:r>
          </w:hyperlink>
        </w:p>
        <w:p w14:paraId="585836C6" w14:textId="021EE64C"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7" w:history="1">
            <w:r w:rsidR="0036128C" w:rsidRPr="00EC1059">
              <w:rPr>
                <w:rStyle w:val="Hyperlink"/>
                <w:noProof/>
                <w:lang w:val="en-US"/>
              </w:rPr>
              <w:t>2.4 India-Specific Research and Contextual Gaps.</w:t>
            </w:r>
            <w:r w:rsidR="0036128C">
              <w:rPr>
                <w:noProof/>
                <w:webHidden/>
              </w:rPr>
              <w:tab/>
            </w:r>
            <w:r w:rsidR="0036128C">
              <w:rPr>
                <w:noProof/>
                <w:webHidden/>
              </w:rPr>
              <w:fldChar w:fldCharType="begin"/>
            </w:r>
            <w:r w:rsidR="0036128C">
              <w:rPr>
                <w:noProof/>
                <w:webHidden/>
              </w:rPr>
              <w:instrText xml:space="preserve"> PAGEREF _Toc200973157 \h </w:instrText>
            </w:r>
            <w:r w:rsidR="0036128C">
              <w:rPr>
                <w:noProof/>
                <w:webHidden/>
              </w:rPr>
            </w:r>
            <w:r w:rsidR="0036128C">
              <w:rPr>
                <w:noProof/>
                <w:webHidden/>
              </w:rPr>
              <w:fldChar w:fldCharType="separate"/>
            </w:r>
            <w:r w:rsidR="0036128C">
              <w:rPr>
                <w:noProof/>
                <w:webHidden/>
              </w:rPr>
              <w:t>16</w:t>
            </w:r>
            <w:r w:rsidR="0036128C">
              <w:rPr>
                <w:noProof/>
                <w:webHidden/>
              </w:rPr>
              <w:fldChar w:fldCharType="end"/>
            </w:r>
          </w:hyperlink>
        </w:p>
        <w:p w14:paraId="4B3A25B7" w14:textId="42FC0BC2"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8" w:history="1">
            <w:r w:rsidR="0036128C" w:rsidRPr="00EC1059">
              <w:rPr>
                <w:rStyle w:val="Hyperlink"/>
                <w:noProof/>
                <w:lang w:val="en-US"/>
              </w:rPr>
              <w:t>2.5 Methodological Contributions and Extensions</w:t>
            </w:r>
            <w:r w:rsidR="0036128C">
              <w:rPr>
                <w:noProof/>
                <w:webHidden/>
              </w:rPr>
              <w:tab/>
            </w:r>
            <w:r w:rsidR="0036128C">
              <w:rPr>
                <w:noProof/>
                <w:webHidden/>
              </w:rPr>
              <w:fldChar w:fldCharType="begin"/>
            </w:r>
            <w:r w:rsidR="0036128C">
              <w:rPr>
                <w:noProof/>
                <w:webHidden/>
              </w:rPr>
              <w:instrText xml:space="preserve"> PAGEREF _Toc200973158 \h </w:instrText>
            </w:r>
            <w:r w:rsidR="0036128C">
              <w:rPr>
                <w:noProof/>
                <w:webHidden/>
              </w:rPr>
            </w:r>
            <w:r w:rsidR="0036128C">
              <w:rPr>
                <w:noProof/>
                <w:webHidden/>
              </w:rPr>
              <w:fldChar w:fldCharType="separate"/>
            </w:r>
            <w:r w:rsidR="0036128C">
              <w:rPr>
                <w:noProof/>
                <w:webHidden/>
              </w:rPr>
              <w:t>18</w:t>
            </w:r>
            <w:r w:rsidR="0036128C">
              <w:rPr>
                <w:noProof/>
                <w:webHidden/>
              </w:rPr>
              <w:fldChar w:fldCharType="end"/>
            </w:r>
          </w:hyperlink>
        </w:p>
        <w:p w14:paraId="10C5CAE1" w14:textId="41C6C542"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59" w:history="1">
            <w:r w:rsidR="0036128C" w:rsidRPr="00EC1059">
              <w:rPr>
                <w:rStyle w:val="Hyperlink"/>
                <w:noProof/>
                <w:lang w:val="en-US"/>
              </w:rPr>
              <w:t>2.6 Policy Calibration, Simulation, and Practical Relevance</w:t>
            </w:r>
            <w:r w:rsidR="0036128C">
              <w:rPr>
                <w:noProof/>
                <w:webHidden/>
              </w:rPr>
              <w:tab/>
            </w:r>
            <w:r w:rsidR="0036128C">
              <w:rPr>
                <w:noProof/>
                <w:webHidden/>
              </w:rPr>
              <w:fldChar w:fldCharType="begin"/>
            </w:r>
            <w:r w:rsidR="0036128C">
              <w:rPr>
                <w:noProof/>
                <w:webHidden/>
              </w:rPr>
              <w:instrText xml:space="preserve"> PAGEREF _Toc200973159 \h </w:instrText>
            </w:r>
            <w:r w:rsidR="0036128C">
              <w:rPr>
                <w:noProof/>
                <w:webHidden/>
              </w:rPr>
            </w:r>
            <w:r w:rsidR="0036128C">
              <w:rPr>
                <w:noProof/>
                <w:webHidden/>
              </w:rPr>
              <w:fldChar w:fldCharType="separate"/>
            </w:r>
            <w:r w:rsidR="0036128C">
              <w:rPr>
                <w:noProof/>
                <w:webHidden/>
              </w:rPr>
              <w:t>19</w:t>
            </w:r>
            <w:r w:rsidR="0036128C">
              <w:rPr>
                <w:noProof/>
                <w:webHidden/>
              </w:rPr>
              <w:fldChar w:fldCharType="end"/>
            </w:r>
          </w:hyperlink>
        </w:p>
        <w:p w14:paraId="0F04D4B6" w14:textId="3D7442EB"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0" w:history="1">
            <w:r w:rsidR="0036128C" w:rsidRPr="00EC1059">
              <w:rPr>
                <w:rStyle w:val="Hyperlink"/>
                <w:noProof/>
                <w:lang w:val="en-US"/>
              </w:rPr>
              <w:t>2.7 Summary of Contributions</w:t>
            </w:r>
            <w:r w:rsidR="0036128C">
              <w:rPr>
                <w:noProof/>
                <w:webHidden/>
              </w:rPr>
              <w:tab/>
            </w:r>
            <w:r w:rsidR="0036128C">
              <w:rPr>
                <w:noProof/>
                <w:webHidden/>
              </w:rPr>
              <w:fldChar w:fldCharType="begin"/>
            </w:r>
            <w:r w:rsidR="0036128C">
              <w:rPr>
                <w:noProof/>
                <w:webHidden/>
              </w:rPr>
              <w:instrText xml:space="preserve"> PAGEREF _Toc200973160 \h </w:instrText>
            </w:r>
            <w:r w:rsidR="0036128C">
              <w:rPr>
                <w:noProof/>
                <w:webHidden/>
              </w:rPr>
            </w:r>
            <w:r w:rsidR="0036128C">
              <w:rPr>
                <w:noProof/>
                <w:webHidden/>
              </w:rPr>
              <w:fldChar w:fldCharType="separate"/>
            </w:r>
            <w:r w:rsidR="0036128C">
              <w:rPr>
                <w:noProof/>
                <w:webHidden/>
              </w:rPr>
              <w:t>21</w:t>
            </w:r>
            <w:r w:rsidR="0036128C">
              <w:rPr>
                <w:noProof/>
                <w:webHidden/>
              </w:rPr>
              <w:fldChar w:fldCharType="end"/>
            </w:r>
          </w:hyperlink>
        </w:p>
        <w:p w14:paraId="4760FBB8" w14:textId="3CE11C0D"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61" w:history="1">
            <w:r w:rsidR="0036128C" w:rsidRPr="00EC1059">
              <w:rPr>
                <w:rStyle w:val="Hyperlink"/>
                <w:noProof/>
              </w:rPr>
              <w:t>3. Methodology</w:t>
            </w:r>
            <w:r w:rsidR="0036128C">
              <w:rPr>
                <w:noProof/>
                <w:webHidden/>
              </w:rPr>
              <w:tab/>
            </w:r>
            <w:r w:rsidR="0036128C">
              <w:rPr>
                <w:noProof/>
                <w:webHidden/>
              </w:rPr>
              <w:fldChar w:fldCharType="begin"/>
            </w:r>
            <w:r w:rsidR="0036128C">
              <w:rPr>
                <w:noProof/>
                <w:webHidden/>
              </w:rPr>
              <w:instrText xml:space="preserve"> PAGEREF _Toc200973161 \h </w:instrText>
            </w:r>
            <w:r w:rsidR="0036128C">
              <w:rPr>
                <w:noProof/>
                <w:webHidden/>
              </w:rPr>
            </w:r>
            <w:r w:rsidR="0036128C">
              <w:rPr>
                <w:noProof/>
                <w:webHidden/>
              </w:rPr>
              <w:fldChar w:fldCharType="separate"/>
            </w:r>
            <w:r w:rsidR="0036128C">
              <w:rPr>
                <w:noProof/>
                <w:webHidden/>
              </w:rPr>
              <w:t>22</w:t>
            </w:r>
            <w:r w:rsidR="0036128C">
              <w:rPr>
                <w:noProof/>
                <w:webHidden/>
              </w:rPr>
              <w:fldChar w:fldCharType="end"/>
            </w:r>
          </w:hyperlink>
        </w:p>
        <w:p w14:paraId="6EA5A51F" w14:textId="136D4027"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2" w:history="1">
            <w:r w:rsidR="0036128C" w:rsidRPr="00EC1059">
              <w:rPr>
                <w:rStyle w:val="Hyperlink"/>
                <w:rFonts w:cstheme="majorBidi"/>
                <w:noProof/>
                <w:lang w:val="en-US"/>
              </w:rPr>
              <w:t>3.1 Data Collection</w:t>
            </w:r>
            <w:r w:rsidR="0036128C">
              <w:rPr>
                <w:noProof/>
                <w:webHidden/>
              </w:rPr>
              <w:tab/>
            </w:r>
            <w:r w:rsidR="0036128C">
              <w:rPr>
                <w:noProof/>
                <w:webHidden/>
              </w:rPr>
              <w:fldChar w:fldCharType="begin"/>
            </w:r>
            <w:r w:rsidR="0036128C">
              <w:rPr>
                <w:noProof/>
                <w:webHidden/>
              </w:rPr>
              <w:instrText xml:space="preserve"> PAGEREF _Toc200973162 \h </w:instrText>
            </w:r>
            <w:r w:rsidR="0036128C">
              <w:rPr>
                <w:noProof/>
                <w:webHidden/>
              </w:rPr>
            </w:r>
            <w:r w:rsidR="0036128C">
              <w:rPr>
                <w:noProof/>
                <w:webHidden/>
              </w:rPr>
              <w:fldChar w:fldCharType="separate"/>
            </w:r>
            <w:r w:rsidR="0036128C">
              <w:rPr>
                <w:noProof/>
                <w:webHidden/>
              </w:rPr>
              <w:t>22</w:t>
            </w:r>
            <w:r w:rsidR="0036128C">
              <w:rPr>
                <w:noProof/>
                <w:webHidden/>
              </w:rPr>
              <w:fldChar w:fldCharType="end"/>
            </w:r>
          </w:hyperlink>
        </w:p>
        <w:p w14:paraId="63BC89F3" w14:textId="066950C8"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3" w:history="1">
            <w:r w:rsidR="0036128C" w:rsidRPr="00EC1059">
              <w:rPr>
                <w:rStyle w:val="Hyperlink"/>
                <w:noProof/>
                <w:lang w:val="en-US"/>
              </w:rPr>
              <w:t>3.1.1 Exchange-Rate Series</w:t>
            </w:r>
            <w:r w:rsidR="0036128C">
              <w:rPr>
                <w:noProof/>
                <w:webHidden/>
              </w:rPr>
              <w:tab/>
            </w:r>
            <w:r w:rsidR="0036128C">
              <w:rPr>
                <w:noProof/>
                <w:webHidden/>
              </w:rPr>
              <w:fldChar w:fldCharType="begin"/>
            </w:r>
            <w:r w:rsidR="0036128C">
              <w:rPr>
                <w:noProof/>
                <w:webHidden/>
              </w:rPr>
              <w:instrText xml:space="preserve"> PAGEREF _Toc200973163 \h </w:instrText>
            </w:r>
            <w:r w:rsidR="0036128C">
              <w:rPr>
                <w:noProof/>
                <w:webHidden/>
              </w:rPr>
            </w:r>
            <w:r w:rsidR="0036128C">
              <w:rPr>
                <w:noProof/>
                <w:webHidden/>
              </w:rPr>
              <w:fldChar w:fldCharType="separate"/>
            </w:r>
            <w:r w:rsidR="0036128C">
              <w:rPr>
                <w:noProof/>
                <w:webHidden/>
              </w:rPr>
              <w:t>22</w:t>
            </w:r>
            <w:r w:rsidR="0036128C">
              <w:rPr>
                <w:noProof/>
                <w:webHidden/>
              </w:rPr>
              <w:fldChar w:fldCharType="end"/>
            </w:r>
          </w:hyperlink>
        </w:p>
        <w:p w14:paraId="53051A80" w14:textId="27432B8D"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4" w:history="1">
            <w:r w:rsidR="0036128C" w:rsidRPr="00EC1059">
              <w:rPr>
                <w:rStyle w:val="Hyperlink"/>
                <w:noProof/>
                <w:lang w:val="en-US"/>
              </w:rPr>
              <w:t>3.1.2 Private Lending Proxy</w:t>
            </w:r>
            <w:r w:rsidR="0036128C">
              <w:rPr>
                <w:noProof/>
                <w:webHidden/>
              </w:rPr>
              <w:tab/>
            </w:r>
            <w:r w:rsidR="0036128C">
              <w:rPr>
                <w:noProof/>
                <w:webHidden/>
              </w:rPr>
              <w:fldChar w:fldCharType="begin"/>
            </w:r>
            <w:r w:rsidR="0036128C">
              <w:rPr>
                <w:noProof/>
                <w:webHidden/>
              </w:rPr>
              <w:instrText xml:space="preserve"> PAGEREF _Toc200973164 \h </w:instrText>
            </w:r>
            <w:r w:rsidR="0036128C">
              <w:rPr>
                <w:noProof/>
                <w:webHidden/>
              </w:rPr>
            </w:r>
            <w:r w:rsidR="0036128C">
              <w:rPr>
                <w:noProof/>
                <w:webHidden/>
              </w:rPr>
              <w:fldChar w:fldCharType="separate"/>
            </w:r>
            <w:r w:rsidR="0036128C">
              <w:rPr>
                <w:noProof/>
                <w:webHidden/>
              </w:rPr>
              <w:t>22</w:t>
            </w:r>
            <w:r w:rsidR="0036128C">
              <w:rPr>
                <w:noProof/>
                <w:webHidden/>
              </w:rPr>
              <w:fldChar w:fldCharType="end"/>
            </w:r>
          </w:hyperlink>
        </w:p>
        <w:p w14:paraId="05D67792" w14:textId="17820450"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5" w:history="1">
            <w:r w:rsidR="0036128C" w:rsidRPr="00EC1059">
              <w:rPr>
                <w:rStyle w:val="Hyperlink"/>
                <w:noProof/>
                <w:lang w:val="en-US"/>
              </w:rPr>
              <w:t>3.1.3 Data Integrity Checks</w:t>
            </w:r>
            <w:r w:rsidR="0036128C">
              <w:rPr>
                <w:noProof/>
                <w:webHidden/>
              </w:rPr>
              <w:tab/>
            </w:r>
            <w:r w:rsidR="0036128C">
              <w:rPr>
                <w:noProof/>
                <w:webHidden/>
              </w:rPr>
              <w:fldChar w:fldCharType="begin"/>
            </w:r>
            <w:r w:rsidR="0036128C">
              <w:rPr>
                <w:noProof/>
                <w:webHidden/>
              </w:rPr>
              <w:instrText xml:space="preserve"> PAGEREF _Toc200973165 \h </w:instrText>
            </w:r>
            <w:r w:rsidR="0036128C">
              <w:rPr>
                <w:noProof/>
                <w:webHidden/>
              </w:rPr>
            </w:r>
            <w:r w:rsidR="0036128C">
              <w:rPr>
                <w:noProof/>
                <w:webHidden/>
              </w:rPr>
              <w:fldChar w:fldCharType="separate"/>
            </w:r>
            <w:r w:rsidR="0036128C">
              <w:rPr>
                <w:noProof/>
                <w:webHidden/>
              </w:rPr>
              <w:t>23</w:t>
            </w:r>
            <w:r w:rsidR="0036128C">
              <w:rPr>
                <w:noProof/>
                <w:webHidden/>
              </w:rPr>
              <w:fldChar w:fldCharType="end"/>
            </w:r>
          </w:hyperlink>
        </w:p>
        <w:p w14:paraId="0FB5D211" w14:textId="23177AAE"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6" w:history="1">
            <w:r w:rsidR="0036128C" w:rsidRPr="00EC1059">
              <w:rPr>
                <w:rStyle w:val="Hyperlink"/>
                <w:noProof/>
                <w:lang w:val="en-US"/>
              </w:rPr>
              <w:t>3.2 Pre-estimation Diagnostics</w:t>
            </w:r>
            <w:r w:rsidR="0036128C">
              <w:rPr>
                <w:noProof/>
                <w:webHidden/>
              </w:rPr>
              <w:tab/>
            </w:r>
            <w:r w:rsidR="0036128C">
              <w:rPr>
                <w:noProof/>
                <w:webHidden/>
              </w:rPr>
              <w:fldChar w:fldCharType="begin"/>
            </w:r>
            <w:r w:rsidR="0036128C">
              <w:rPr>
                <w:noProof/>
                <w:webHidden/>
              </w:rPr>
              <w:instrText xml:space="preserve"> PAGEREF _Toc200973166 \h </w:instrText>
            </w:r>
            <w:r w:rsidR="0036128C">
              <w:rPr>
                <w:noProof/>
                <w:webHidden/>
              </w:rPr>
            </w:r>
            <w:r w:rsidR="0036128C">
              <w:rPr>
                <w:noProof/>
                <w:webHidden/>
              </w:rPr>
              <w:fldChar w:fldCharType="separate"/>
            </w:r>
            <w:r w:rsidR="0036128C">
              <w:rPr>
                <w:noProof/>
                <w:webHidden/>
              </w:rPr>
              <w:t>24</w:t>
            </w:r>
            <w:r w:rsidR="0036128C">
              <w:rPr>
                <w:noProof/>
                <w:webHidden/>
              </w:rPr>
              <w:fldChar w:fldCharType="end"/>
            </w:r>
          </w:hyperlink>
        </w:p>
        <w:p w14:paraId="4D48883A" w14:textId="7E06F524"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7" w:history="1">
            <w:r w:rsidR="0036128C" w:rsidRPr="00EC1059">
              <w:rPr>
                <w:rStyle w:val="Hyperlink"/>
                <w:noProof/>
                <w:lang w:val="en-US"/>
              </w:rPr>
              <w:t>3.3 Baseline VAR Specification</w:t>
            </w:r>
            <w:r w:rsidR="0036128C">
              <w:rPr>
                <w:noProof/>
                <w:webHidden/>
              </w:rPr>
              <w:tab/>
            </w:r>
            <w:r w:rsidR="0036128C">
              <w:rPr>
                <w:noProof/>
                <w:webHidden/>
              </w:rPr>
              <w:fldChar w:fldCharType="begin"/>
            </w:r>
            <w:r w:rsidR="0036128C">
              <w:rPr>
                <w:noProof/>
                <w:webHidden/>
              </w:rPr>
              <w:instrText xml:space="preserve"> PAGEREF _Toc200973167 \h </w:instrText>
            </w:r>
            <w:r w:rsidR="0036128C">
              <w:rPr>
                <w:noProof/>
                <w:webHidden/>
              </w:rPr>
            </w:r>
            <w:r w:rsidR="0036128C">
              <w:rPr>
                <w:noProof/>
                <w:webHidden/>
              </w:rPr>
              <w:fldChar w:fldCharType="separate"/>
            </w:r>
            <w:r w:rsidR="0036128C">
              <w:rPr>
                <w:noProof/>
                <w:webHidden/>
              </w:rPr>
              <w:t>24</w:t>
            </w:r>
            <w:r w:rsidR="0036128C">
              <w:rPr>
                <w:noProof/>
                <w:webHidden/>
              </w:rPr>
              <w:fldChar w:fldCharType="end"/>
            </w:r>
          </w:hyperlink>
        </w:p>
        <w:p w14:paraId="729EFFCB" w14:textId="6BC36CB0"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8" w:history="1">
            <w:r w:rsidR="0036128C" w:rsidRPr="00EC1059">
              <w:rPr>
                <w:rStyle w:val="Hyperlink"/>
                <w:noProof/>
                <w:lang w:val="en-US"/>
              </w:rPr>
              <w:t>3.4 Rolling-Window Estimation</w:t>
            </w:r>
            <w:r w:rsidR="0036128C">
              <w:rPr>
                <w:noProof/>
                <w:webHidden/>
              </w:rPr>
              <w:tab/>
            </w:r>
            <w:r w:rsidR="0036128C">
              <w:rPr>
                <w:noProof/>
                <w:webHidden/>
              </w:rPr>
              <w:fldChar w:fldCharType="begin"/>
            </w:r>
            <w:r w:rsidR="0036128C">
              <w:rPr>
                <w:noProof/>
                <w:webHidden/>
              </w:rPr>
              <w:instrText xml:space="preserve"> PAGEREF _Toc200973168 \h </w:instrText>
            </w:r>
            <w:r w:rsidR="0036128C">
              <w:rPr>
                <w:noProof/>
                <w:webHidden/>
              </w:rPr>
            </w:r>
            <w:r w:rsidR="0036128C">
              <w:rPr>
                <w:noProof/>
                <w:webHidden/>
              </w:rPr>
              <w:fldChar w:fldCharType="separate"/>
            </w:r>
            <w:r w:rsidR="0036128C">
              <w:rPr>
                <w:noProof/>
                <w:webHidden/>
              </w:rPr>
              <w:t>25</w:t>
            </w:r>
            <w:r w:rsidR="0036128C">
              <w:rPr>
                <w:noProof/>
                <w:webHidden/>
              </w:rPr>
              <w:fldChar w:fldCharType="end"/>
            </w:r>
          </w:hyperlink>
        </w:p>
        <w:p w14:paraId="58C81012" w14:textId="56A3CAA5"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69" w:history="1">
            <w:r w:rsidR="0036128C" w:rsidRPr="00EC1059">
              <w:rPr>
                <w:rStyle w:val="Hyperlink"/>
                <w:noProof/>
                <w:lang w:val="en-US"/>
              </w:rPr>
              <w:t>3.5 Structural-Break Detection</w:t>
            </w:r>
            <w:r w:rsidR="0036128C">
              <w:rPr>
                <w:noProof/>
                <w:webHidden/>
              </w:rPr>
              <w:tab/>
            </w:r>
            <w:r w:rsidR="0036128C">
              <w:rPr>
                <w:noProof/>
                <w:webHidden/>
              </w:rPr>
              <w:fldChar w:fldCharType="begin"/>
            </w:r>
            <w:r w:rsidR="0036128C">
              <w:rPr>
                <w:noProof/>
                <w:webHidden/>
              </w:rPr>
              <w:instrText xml:space="preserve"> PAGEREF _Toc200973169 \h </w:instrText>
            </w:r>
            <w:r w:rsidR="0036128C">
              <w:rPr>
                <w:noProof/>
                <w:webHidden/>
              </w:rPr>
            </w:r>
            <w:r w:rsidR="0036128C">
              <w:rPr>
                <w:noProof/>
                <w:webHidden/>
              </w:rPr>
              <w:fldChar w:fldCharType="separate"/>
            </w:r>
            <w:r w:rsidR="0036128C">
              <w:rPr>
                <w:noProof/>
                <w:webHidden/>
              </w:rPr>
              <w:t>25</w:t>
            </w:r>
            <w:r w:rsidR="0036128C">
              <w:rPr>
                <w:noProof/>
                <w:webHidden/>
              </w:rPr>
              <w:fldChar w:fldCharType="end"/>
            </w:r>
          </w:hyperlink>
        </w:p>
        <w:p w14:paraId="0E1D7003" w14:textId="03D5C174"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0" w:history="1">
            <w:r w:rsidR="0036128C" w:rsidRPr="00EC1059">
              <w:rPr>
                <w:rStyle w:val="Hyperlink"/>
                <w:noProof/>
                <w:lang w:val="en-US"/>
              </w:rPr>
              <w:t>3.6 Connecting VAR Findings to Financial-Crisis Risk</w:t>
            </w:r>
            <w:r w:rsidR="0036128C">
              <w:rPr>
                <w:noProof/>
                <w:webHidden/>
              </w:rPr>
              <w:tab/>
            </w:r>
            <w:r w:rsidR="0036128C">
              <w:rPr>
                <w:noProof/>
                <w:webHidden/>
              </w:rPr>
              <w:fldChar w:fldCharType="begin"/>
            </w:r>
            <w:r w:rsidR="0036128C">
              <w:rPr>
                <w:noProof/>
                <w:webHidden/>
              </w:rPr>
              <w:instrText xml:space="preserve"> PAGEREF _Toc200973170 \h </w:instrText>
            </w:r>
            <w:r w:rsidR="0036128C">
              <w:rPr>
                <w:noProof/>
                <w:webHidden/>
              </w:rPr>
            </w:r>
            <w:r w:rsidR="0036128C">
              <w:rPr>
                <w:noProof/>
                <w:webHidden/>
              </w:rPr>
              <w:fldChar w:fldCharType="separate"/>
            </w:r>
            <w:r w:rsidR="0036128C">
              <w:rPr>
                <w:noProof/>
                <w:webHidden/>
              </w:rPr>
              <w:t>26</w:t>
            </w:r>
            <w:r w:rsidR="0036128C">
              <w:rPr>
                <w:noProof/>
                <w:webHidden/>
              </w:rPr>
              <w:fldChar w:fldCharType="end"/>
            </w:r>
          </w:hyperlink>
        </w:p>
        <w:p w14:paraId="1A5EE508" w14:textId="57F75888"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1" w:history="1">
            <w:r w:rsidR="0036128C" w:rsidRPr="00EC1059">
              <w:rPr>
                <w:rStyle w:val="Hyperlink"/>
                <w:noProof/>
                <w:lang w:val="en-US"/>
              </w:rPr>
              <w:t>3.7 Robust checks</w:t>
            </w:r>
            <w:r w:rsidR="0036128C">
              <w:rPr>
                <w:noProof/>
                <w:webHidden/>
              </w:rPr>
              <w:tab/>
            </w:r>
            <w:r w:rsidR="0036128C">
              <w:rPr>
                <w:noProof/>
                <w:webHidden/>
              </w:rPr>
              <w:fldChar w:fldCharType="begin"/>
            </w:r>
            <w:r w:rsidR="0036128C">
              <w:rPr>
                <w:noProof/>
                <w:webHidden/>
              </w:rPr>
              <w:instrText xml:space="preserve"> PAGEREF _Toc200973171 \h </w:instrText>
            </w:r>
            <w:r w:rsidR="0036128C">
              <w:rPr>
                <w:noProof/>
                <w:webHidden/>
              </w:rPr>
            </w:r>
            <w:r w:rsidR="0036128C">
              <w:rPr>
                <w:noProof/>
                <w:webHidden/>
              </w:rPr>
              <w:fldChar w:fldCharType="separate"/>
            </w:r>
            <w:r w:rsidR="0036128C">
              <w:rPr>
                <w:noProof/>
                <w:webHidden/>
              </w:rPr>
              <w:t>26</w:t>
            </w:r>
            <w:r w:rsidR="0036128C">
              <w:rPr>
                <w:noProof/>
                <w:webHidden/>
              </w:rPr>
              <w:fldChar w:fldCharType="end"/>
            </w:r>
          </w:hyperlink>
        </w:p>
        <w:p w14:paraId="45851163" w14:textId="28D9C558"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2" w:history="1">
            <w:r w:rsidR="0036128C" w:rsidRPr="00EC1059">
              <w:rPr>
                <w:rStyle w:val="Hyperlink"/>
                <w:noProof/>
                <w:lang w:val="en-US"/>
              </w:rPr>
              <w:t>3.8 Software and Reproducibility</w:t>
            </w:r>
            <w:r w:rsidR="0036128C">
              <w:rPr>
                <w:noProof/>
                <w:webHidden/>
              </w:rPr>
              <w:tab/>
            </w:r>
            <w:r w:rsidR="0036128C">
              <w:rPr>
                <w:noProof/>
                <w:webHidden/>
              </w:rPr>
              <w:fldChar w:fldCharType="begin"/>
            </w:r>
            <w:r w:rsidR="0036128C">
              <w:rPr>
                <w:noProof/>
                <w:webHidden/>
              </w:rPr>
              <w:instrText xml:space="preserve"> PAGEREF _Toc200973172 \h </w:instrText>
            </w:r>
            <w:r w:rsidR="0036128C">
              <w:rPr>
                <w:noProof/>
                <w:webHidden/>
              </w:rPr>
            </w:r>
            <w:r w:rsidR="0036128C">
              <w:rPr>
                <w:noProof/>
                <w:webHidden/>
              </w:rPr>
              <w:fldChar w:fldCharType="separate"/>
            </w:r>
            <w:r w:rsidR="0036128C">
              <w:rPr>
                <w:noProof/>
                <w:webHidden/>
              </w:rPr>
              <w:t>27</w:t>
            </w:r>
            <w:r w:rsidR="0036128C">
              <w:rPr>
                <w:noProof/>
                <w:webHidden/>
              </w:rPr>
              <w:fldChar w:fldCharType="end"/>
            </w:r>
          </w:hyperlink>
        </w:p>
        <w:p w14:paraId="1CF8E69F" w14:textId="06AC6458"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73" w:history="1">
            <w:r w:rsidR="0036128C" w:rsidRPr="00EC1059">
              <w:rPr>
                <w:rStyle w:val="Hyperlink"/>
                <w:noProof/>
              </w:rPr>
              <w:t>4.Results</w:t>
            </w:r>
            <w:r w:rsidR="0036128C">
              <w:rPr>
                <w:noProof/>
                <w:webHidden/>
              </w:rPr>
              <w:tab/>
            </w:r>
            <w:r w:rsidR="0036128C">
              <w:rPr>
                <w:noProof/>
                <w:webHidden/>
              </w:rPr>
              <w:fldChar w:fldCharType="begin"/>
            </w:r>
            <w:r w:rsidR="0036128C">
              <w:rPr>
                <w:noProof/>
                <w:webHidden/>
              </w:rPr>
              <w:instrText xml:space="preserve"> PAGEREF _Toc200973173 \h </w:instrText>
            </w:r>
            <w:r w:rsidR="0036128C">
              <w:rPr>
                <w:noProof/>
                <w:webHidden/>
              </w:rPr>
            </w:r>
            <w:r w:rsidR="0036128C">
              <w:rPr>
                <w:noProof/>
                <w:webHidden/>
              </w:rPr>
              <w:fldChar w:fldCharType="separate"/>
            </w:r>
            <w:r w:rsidR="0036128C">
              <w:rPr>
                <w:noProof/>
                <w:webHidden/>
              </w:rPr>
              <w:t>28</w:t>
            </w:r>
            <w:r w:rsidR="0036128C">
              <w:rPr>
                <w:noProof/>
                <w:webHidden/>
              </w:rPr>
              <w:fldChar w:fldCharType="end"/>
            </w:r>
          </w:hyperlink>
        </w:p>
        <w:p w14:paraId="13B42B92" w14:textId="71149A1B"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4" w:history="1">
            <w:r w:rsidR="0036128C" w:rsidRPr="00EC1059">
              <w:rPr>
                <w:rStyle w:val="Hyperlink"/>
                <w:noProof/>
                <w:lang w:val="en-US"/>
              </w:rPr>
              <w:t>4.1 Data-analysis strategy</w:t>
            </w:r>
            <w:r w:rsidR="0036128C">
              <w:rPr>
                <w:noProof/>
                <w:webHidden/>
              </w:rPr>
              <w:tab/>
            </w:r>
            <w:r w:rsidR="0036128C">
              <w:rPr>
                <w:noProof/>
                <w:webHidden/>
              </w:rPr>
              <w:fldChar w:fldCharType="begin"/>
            </w:r>
            <w:r w:rsidR="0036128C">
              <w:rPr>
                <w:noProof/>
                <w:webHidden/>
              </w:rPr>
              <w:instrText xml:space="preserve"> PAGEREF _Toc200973174 \h </w:instrText>
            </w:r>
            <w:r w:rsidR="0036128C">
              <w:rPr>
                <w:noProof/>
                <w:webHidden/>
              </w:rPr>
            </w:r>
            <w:r w:rsidR="0036128C">
              <w:rPr>
                <w:noProof/>
                <w:webHidden/>
              </w:rPr>
              <w:fldChar w:fldCharType="separate"/>
            </w:r>
            <w:r w:rsidR="0036128C">
              <w:rPr>
                <w:noProof/>
                <w:webHidden/>
              </w:rPr>
              <w:t>28</w:t>
            </w:r>
            <w:r w:rsidR="0036128C">
              <w:rPr>
                <w:noProof/>
                <w:webHidden/>
              </w:rPr>
              <w:fldChar w:fldCharType="end"/>
            </w:r>
          </w:hyperlink>
        </w:p>
        <w:p w14:paraId="01F8304C" w14:textId="4A539686"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5" w:history="1">
            <w:r w:rsidR="0036128C" w:rsidRPr="00EC1059">
              <w:rPr>
                <w:rStyle w:val="Hyperlink"/>
                <w:noProof/>
                <w:lang w:val="en-US"/>
              </w:rPr>
              <w:t>4.2 Model diagnostics</w:t>
            </w:r>
            <w:r w:rsidR="0036128C">
              <w:rPr>
                <w:noProof/>
                <w:webHidden/>
              </w:rPr>
              <w:tab/>
            </w:r>
            <w:r w:rsidR="0036128C">
              <w:rPr>
                <w:noProof/>
                <w:webHidden/>
              </w:rPr>
              <w:fldChar w:fldCharType="begin"/>
            </w:r>
            <w:r w:rsidR="0036128C">
              <w:rPr>
                <w:noProof/>
                <w:webHidden/>
              </w:rPr>
              <w:instrText xml:space="preserve"> PAGEREF _Toc200973175 \h </w:instrText>
            </w:r>
            <w:r w:rsidR="0036128C">
              <w:rPr>
                <w:noProof/>
                <w:webHidden/>
              </w:rPr>
            </w:r>
            <w:r w:rsidR="0036128C">
              <w:rPr>
                <w:noProof/>
                <w:webHidden/>
              </w:rPr>
              <w:fldChar w:fldCharType="separate"/>
            </w:r>
            <w:r w:rsidR="0036128C">
              <w:rPr>
                <w:noProof/>
                <w:webHidden/>
              </w:rPr>
              <w:t>30</w:t>
            </w:r>
            <w:r w:rsidR="0036128C">
              <w:rPr>
                <w:noProof/>
                <w:webHidden/>
              </w:rPr>
              <w:fldChar w:fldCharType="end"/>
            </w:r>
          </w:hyperlink>
        </w:p>
        <w:p w14:paraId="29618630" w14:textId="73C6C173"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6" w:history="1">
            <w:r w:rsidR="0036128C" w:rsidRPr="00EC1059">
              <w:rPr>
                <w:rStyle w:val="Hyperlink"/>
                <w:noProof/>
                <w:lang w:val="en-US"/>
              </w:rPr>
              <w:t>4.4 Impulse-response functions</w:t>
            </w:r>
            <w:r w:rsidR="0036128C">
              <w:rPr>
                <w:noProof/>
                <w:webHidden/>
              </w:rPr>
              <w:tab/>
            </w:r>
            <w:r w:rsidR="0036128C">
              <w:rPr>
                <w:noProof/>
                <w:webHidden/>
              </w:rPr>
              <w:fldChar w:fldCharType="begin"/>
            </w:r>
            <w:r w:rsidR="0036128C">
              <w:rPr>
                <w:noProof/>
                <w:webHidden/>
              </w:rPr>
              <w:instrText xml:space="preserve"> PAGEREF _Toc200973176 \h </w:instrText>
            </w:r>
            <w:r w:rsidR="0036128C">
              <w:rPr>
                <w:noProof/>
                <w:webHidden/>
              </w:rPr>
            </w:r>
            <w:r w:rsidR="0036128C">
              <w:rPr>
                <w:noProof/>
                <w:webHidden/>
              </w:rPr>
              <w:fldChar w:fldCharType="separate"/>
            </w:r>
            <w:r w:rsidR="0036128C">
              <w:rPr>
                <w:noProof/>
                <w:webHidden/>
              </w:rPr>
              <w:t>30</w:t>
            </w:r>
            <w:r w:rsidR="0036128C">
              <w:rPr>
                <w:noProof/>
                <w:webHidden/>
              </w:rPr>
              <w:fldChar w:fldCharType="end"/>
            </w:r>
          </w:hyperlink>
        </w:p>
        <w:p w14:paraId="1D65AA39" w14:textId="4EB36FAD"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7" w:history="1">
            <w:r w:rsidR="0036128C" w:rsidRPr="00EC1059">
              <w:rPr>
                <w:rStyle w:val="Hyperlink"/>
                <w:noProof/>
                <w:lang w:val="en-US"/>
              </w:rPr>
              <w:t>4.5 Rolling-window evidence</w:t>
            </w:r>
            <w:r w:rsidR="0036128C">
              <w:rPr>
                <w:noProof/>
                <w:webHidden/>
              </w:rPr>
              <w:tab/>
            </w:r>
            <w:r w:rsidR="0036128C">
              <w:rPr>
                <w:noProof/>
                <w:webHidden/>
              </w:rPr>
              <w:fldChar w:fldCharType="begin"/>
            </w:r>
            <w:r w:rsidR="0036128C">
              <w:rPr>
                <w:noProof/>
                <w:webHidden/>
              </w:rPr>
              <w:instrText xml:space="preserve"> PAGEREF _Toc200973177 \h </w:instrText>
            </w:r>
            <w:r w:rsidR="0036128C">
              <w:rPr>
                <w:noProof/>
                <w:webHidden/>
              </w:rPr>
            </w:r>
            <w:r w:rsidR="0036128C">
              <w:rPr>
                <w:noProof/>
                <w:webHidden/>
              </w:rPr>
              <w:fldChar w:fldCharType="separate"/>
            </w:r>
            <w:r w:rsidR="0036128C">
              <w:rPr>
                <w:noProof/>
                <w:webHidden/>
              </w:rPr>
              <w:t>31</w:t>
            </w:r>
            <w:r w:rsidR="0036128C">
              <w:rPr>
                <w:noProof/>
                <w:webHidden/>
              </w:rPr>
              <w:fldChar w:fldCharType="end"/>
            </w:r>
          </w:hyperlink>
        </w:p>
        <w:p w14:paraId="603FFB76" w14:textId="771AACB0"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8" w:history="1">
            <w:r w:rsidR="0036128C" w:rsidRPr="00EC1059">
              <w:rPr>
                <w:rStyle w:val="Hyperlink"/>
                <w:noProof/>
                <w:lang w:val="en-US"/>
              </w:rPr>
              <w:t>4.6 Crisis ali</w:t>
            </w:r>
            <w:r w:rsidR="0036128C" w:rsidRPr="00EC1059">
              <w:rPr>
                <w:rStyle w:val="Hyperlink"/>
                <w:noProof/>
                <w:lang w:val="en-US"/>
              </w:rPr>
              <w:t>g</w:t>
            </w:r>
            <w:r w:rsidR="0036128C" w:rsidRPr="00EC1059">
              <w:rPr>
                <w:rStyle w:val="Hyperlink"/>
                <w:noProof/>
                <w:lang w:val="en-US"/>
              </w:rPr>
              <w:t>nment</w:t>
            </w:r>
            <w:r w:rsidR="0036128C">
              <w:rPr>
                <w:noProof/>
                <w:webHidden/>
              </w:rPr>
              <w:tab/>
            </w:r>
            <w:r w:rsidR="0036128C">
              <w:rPr>
                <w:noProof/>
                <w:webHidden/>
              </w:rPr>
              <w:fldChar w:fldCharType="begin"/>
            </w:r>
            <w:r w:rsidR="0036128C">
              <w:rPr>
                <w:noProof/>
                <w:webHidden/>
              </w:rPr>
              <w:instrText xml:space="preserve"> PAGEREF _Toc200973178 \h </w:instrText>
            </w:r>
            <w:r w:rsidR="0036128C">
              <w:rPr>
                <w:noProof/>
                <w:webHidden/>
              </w:rPr>
            </w:r>
            <w:r w:rsidR="0036128C">
              <w:rPr>
                <w:noProof/>
                <w:webHidden/>
              </w:rPr>
              <w:fldChar w:fldCharType="separate"/>
            </w:r>
            <w:r w:rsidR="0036128C">
              <w:rPr>
                <w:noProof/>
                <w:webHidden/>
              </w:rPr>
              <w:t>31</w:t>
            </w:r>
            <w:r w:rsidR="0036128C">
              <w:rPr>
                <w:noProof/>
                <w:webHidden/>
              </w:rPr>
              <w:fldChar w:fldCharType="end"/>
            </w:r>
          </w:hyperlink>
        </w:p>
        <w:p w14:paraId="119EC4E6" w14:textId="440C2B36"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79" w:history="1">
            <w:r w:rsidR="0036128C" w:rsidRPr="00EC1059">
              <w:rPr>
                <w:rStyle w:val="Hyperlink"/>
                <w:noProof/>
                <w:lang w:val="en-US"/>
              </w:rPr>
              <w:t>4.7 Forecast performance</w:t>
            </w:r>
            <w:r w:rsidR="0036128C">
              <w:rPr>
                <w:noProof/>
                <w:webHidden/>
              </w:rPr>
              <w:tab/>
            </w:r>
            <w:r w:rsidR="0036128C">
              <w:rPr>
                <w:noProof/>
                <w:webHidden/>
              </w:rPr>
              <w:fldChar w:fldCharType="begin"/>
            </w:r>
            <w:r w:rsidR="0036128C">
              <w:rPr>
                <w:noProof/>
                <w:webHidden/>
              </w:rPr>
              <w:instrText xml:space="preserve"> PAGEREF _Toc200973179 \h </w:instrText>
            </w:r>
            <w:r w:rsidR="0036128C">
              <w:rPr>
                <w:noProof/>
                <w:webHidden/>
              </w:rPr>
            </w:r>
            <w:r w:rsidR="0036128C">
              <w:rPr>
                <w:noProof/>
                <w:webHidden/>
              </w:rPr>
              <w:fldChar w:fldCharType="separate"/>
            </w:r>
            <w:r w:rsidR="0036128C">
              <w:rPr>
                <w:noProof/>
                <w:webHidden/>
              </w:rPr>
              <w:t>31</w:t>
            </w:r>
            <w:r w:rsidR="0036128C">
              <w:rPr>
                <w:noProof/>
                <w:webHidden/>
              </w:rPr>
              <w:fldChar w:fldCharType="end"/>
            </w:r>
          </w:hyperlink>
        </w:p>
        <w:p w14:paraId="12F455AB" w14:textId="7E84C715"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80" w:history="1">
            <w:r w:rsidR="0036128C" w:rsidRPr="00EC1059">
              <w:rPr>
                <w:rStyle w:val="Hyperlink"/>
                <w:noProof/>
                <w:lang w:val="en-US"/>
              </w:rPr>
              <w:t>4.8 Synthesis of findings</w:t>
            </w:r>
            <w:r w:rsidR="0036128C">
              <w:rPr>
                <w:noProof/>
                <w:webHidden/>
              </w:rPr>
              <w:tab/>
            </w:r>
            <w:r w:rsidR="0036128C">
              <w:rPr>
                <w:noProof/>
                <w:webHidden/>
              </w:rPr>
              <w:fldChar w:fldCharType="begin"/>
            </w:r>
            <w:r w:rsidR="0036128C">
              <w:rPr>
                <w:noProof/>
                <w:webHidden/>
              </w:rPr>
              <w:instrText xml:space="preserve"> PAGEREF _Toc200973180 \h </w:instrText>
            </w:r>
            <w:r w:rsidR="0036128C">
              <w:rPr>
                <w:noProof/>
                <w:webHidden/>
              </w:rPr>
            </w:r>
            <w:r w:rsidR="0036128C">
              <w:rPr>
                <w:noProof/>
                <w:webHidden/>
              </w:rPr>
              <w:fldChar w:fldCharType="separate"/>
            </w:r>
            <w:r w:rsidR="0036128C">
              <w:rPr>
                <w:noProof/>
                <w:webHidden/>
              </w:rPr>
              <w:t>31</w:t>
            </w:r>
            <w:r w:rsidR="0036128C">
              <w:rPr>
                <w:noProof/>
                <w:webHidden/>
              </w:rPr>
              <w:fldChar w:fldCharType="end"/>
            </w:r>
          </w:hyperlink>
        </w:p>
        <w:p w14:paraId="428737BE" w14:textId="683EA2C8"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81" w:history="1">
            <w:r w:rsidR="0036128C" w:rsidRPr="00EC1059">
              <w:rPr>
                <w:rStyle w:val="Hyperlink"/>
                <w:noProof/>
              </w:rPr>
              <w:t>5 Discussion</w:t>
            </w:r>
            <w:r w:rsidR="0036128C">
              <w:rPr>
                <w:noProof/>
                <w:webHidden/>
              </w:rPr>
              <w:tab/>
            </w:r>
            <w:r w:rsidR="0036128C">
              <w:rPr>
                <w:noProof/>
                <w:webHidden/>
              </w:rPr>
              <w:fldChar w:fldCharType="begin"/>
            </w:r>
            <w:r w:rsidR="0036128C">
              <w:rPr>
                <w:noProof/>
                <w:webHidden/>
              </w:rPr>
              <w:instrText xml:space="preserve"> PAGEREF _Toc200973181 \h </w:instrText>
            </w:r>
            <w:r w:rsidR="0036128C">
              <w:rPr>
                <w:noProof/>
                <w:webHidden/>
              </w:rPr>
            </w:r>
            <w:r w:rsidR="0036128C">
              <w:rPr>
                <w:noProof/>
                <w:webHidden/>
              </w:rPr>
              <w:fldChar w:fldCharType="separate"/>
            </w:r>
            <w:r w:rsidR="0036128C">
              <w:rPr>
                <w:noProof/>
                <w:webHidden/>
              </w:rPr>
              <w:t>32</w:t>
            </w:r>
            <w:r w:rsidR="0036128C">
              <w:rPr>
                <w:noProof/>
                <w:webHidden/>
              </w:rPr>
              <w:fldChar w:fldCharType="end"/>
            </w:r>
          </w:hyperlink>
        </w:p>
        <w:p w14:paraId="58725DD2" w14:textId="0BB79EEB"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82" w:history="1">
            <w:r w:rsidR="0036128C" w:rsidRPr="00EC1059">
              <w:rPr>
                <w:rStyle w:val="Hyperlink"/>
                <w:noProof/>
                <w:lang w:val="en-US"/>
              </w:rPr>
              <w:t>5.0.1 Bridging Literature and Findings</w:t>
            </w:r>
            <w:r w:rsidR="0036128C">
              <w:rPr>
                <w:noProof/>
                <w:webHidden/>
              </w:rPr>
              <w:tab/>
            </w:r>
            <w:r w:rsidR="0036128C">
              <w:rPr>
                <w:noProof/>
                <w:webHidden/>
              </w:rPr>
              <w:fldChar w:fldCharType="begin"/>
            </w:r>
            <w:r w:rsidR="0036128C">
              <w:rPr>
                <w:noProof/>
                <w:webHidden/>
              </w:rPr>
              <w:instrText xml:space="preserve"> PAGEREF _Toc200973182 \h </w:instrText>
            </w:r>
            <w:r w:rsidR="0036128C">
              <w:rPr>
                <w:noProof/>
                <w:webHidden/>
              </w:rPr>
            </w:r>
            <w:r w:rsidR="0036128C">
              <w:rPr>
                <w:noProof/>
                <w:webHidden/>
              </w:rPr>
              <w:fldChar w:fldCharType="separate"/>
            </w:r>
            <w:r w:rsidR="0036128C">
              <w:rPr>
                <w:noProof/>
                <w:webHidden/>
              </w:rPr>
              <w:t>32</w:t>
            </w:r>
            <w:r w:rsidR="0036128C">
              <w:rPr>
                <w:noProof/>
                <w:webHidden/>
              </w:rPr>
              <w:fldChar w:fldCharType="end"/>
            </w:r>
          </w:hyperlink>
        </w:p>
        <w:p w14:paraId="36862D69" w14:textId="383F23C7"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83" w:history="1">
            <w:r w:rsidR="0036128C" w:rsidRPr="00EC1059">
              <w:rPr>
                <w:rStyle w:val="Hyperlink"/>
                <w:noProof/>
                <w:lang w:val="en-US"/>
              </w:rPr>
              <w:t>5.0.2 Robustness and Sensitivity Checks</w:t>
            </w:r>
            <w:r w:rsidR="0036128C">
              <w:rPr>
                <w:noProof/>
                <w:webHidden/>
              </w:rPr>
              <w:tab/>
            </w:r>
            <w:r w:rsidR="0036128C">
              <w:rPr>
                <w:noProof/>
                <w:webHidden/>
              </w:rPr>
              <w:fldChar w:fldCharType="begin"/>
            </w:r>
            <w:r w:rsidR="0036128C">
              <w:rPr>
                <w:noProof/>
                <w:webHidden/>
              </w:rPr>
              <w:instrText xml:space="preserve"> PAGEREF _Toc200973183 \h </w:instrText>
            </w:r>
            <w:r w:rsidR="0036128C">
              <w:rPr>
                <w:noProof/>
                <w:webHidden/>
              </w:rPr>
            </w:r>
            <w:r w:rsidR="0036128C">
              <w:rPr>
                <w:noProof/>
                <w:webHidden/>
              </w:rPr>
              <w:fldChar w:fldCharType="separate"/>
            </w:r>
            <w:r w:rsidR="0036128C">
              <w:rPr>
                <w:noProof/>
                <w:webHidden/>
              </w:rPr>
              <w:t>33</w:t>
            </w:r>
            <w:r w:rsidR="0036128C">
              <w:rPr>
                <w:noProof/>
                <w:webHidden/>
              </w:rPr>
              <w:fldChar w:fldCharType="end"/>
            </w:r>
          </w:hyperlink>
        </w:p>
        <w:p w14:paraId="5488F31B" w14:textId="287E5517"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84" w:history="1">
            <w:r w:rsidR="0036128C" w:rsidRPr="00EC1059">
              <w:rPr>
                <w:rStyle w:val="Hyperlink"/>
                <w:noProof/>
                <w:lang w:val="en-US"/>
              </w:rPr>
              <w:t>5.1 Managerial Implications</w:t>
            </w:r>
            <w:r w:rsidR="0036128C">
              <w:rPr>
                <w:noProof/>
                <w:webHidden/>
              </w:rPr>
              <w:tab/>
            </w:r>
            <w:r w:rsidR="0036128C">
              <w:rPr>
                <w:noProof/>
                <w:webHidden/>
              </w:rPr>
              <w:fldChar w:fldCharType="begin"/>
            </w:r>
            <w:r w:rsidR="0036128C">
              <w:rPr>
                <w:noProof/>
                <w:webHidden/>
              </w:rPr>
              <w:instrText xml:space="preserve"> PAGEREF _Toc200973184 \h </w:instrText>
            </w:r>
            <w:r w:rsidR="0036128C">
              <w:rPr>
                <w:noProof/>
                <w:webHidden/>
              </w:rPr>
            </w:r>
            <w:r w:rsidR="0036128C">
              <w:rPr>
                <w:noProof/>
                <w:webHidden/>
              </w:rPr>
              <w:fldChar w:fldCharType="separate"/>
            </w:r>
            <w:r w:rsidR="0036128C">
              <w:rPr>
                <w:noProof/>
                <w:webHidden/>
              </w:rPr>
              <w:t>34</w:t>
            </w:r>
            <w:r w:rsidR="0036128C">
              <w:rPr>
                <w:noProof/>
                <w:webHidden/>
              </w:rPr>
              <w:fldChar w:fldCharType="end"/>
            </w:r>
          </w:hyperlink>
        </w:p>
        <w:p w14:paraId="24E3241C" w14:textId="7F9168BA" w:rsidR="0036128C" w:rsidRDefault="00000000">
          <w:pPr>
            <w:pStyle w:val="TOC2"/>
            <w:tabs>
              <w:tab w:val="right" w:leader="dot" w:pos="9062"/>
            </w:tabs>
            <w:rPr>
              <w:rFonts w:eastAsiaTheme="minorEastAsia" w:cstheme="minorBidi"/>
              <w:b w:val="0"/>
              <w:bCs w:val="0"/>
              <w:noProof/>
              <w:kern w:val="2"/>
              <w:sz w:val="24"/>
              <w:szCs w:val="24"/>
              <w:lang w:val="en-US" w:bidi="ar-SA"/>
              <w14:ligatures w14:val="standardContextual"/>
            </w:rPr>
          </w:pPr>
          <w:hyperlink w:anchor="_Toc200973185" w:history="1">
            <w:r w:rsidR="0036128C" w:rsidRPr="00EC1059">
              <w:rPr>
                <w:rStyle w:val="Hyperlink"/>
                <w:noProof/>
                <w:lang w:val="en-US"/>
              </w:rPr>
              <w:t>5.2 Limitations and Future Recommendations</w:t>
            </w:r>
            <w:r w:rsidR="0036128C">
              <w:rPr>
                <w:noProof/>
                <w:webHidden/>
              </w:rPr>
              <w:tab/>
            </w:r>
            <w:r w:rsidR="0036128C">
              <w:rPr>
                <w:noProof/>
                <w:webHidden/>
              </w:rPr>
              <w:fldChar w:fldCharType="begin"/>
            </w:r>
            <w:r w:rsidR="0036128C">
              <w:rPr>
                <w:noProof/>
                <w:webHidden/>
              </w:rPr>
              <w:instrText xml:space="preserve"> PAGEREF _Toc200973185 \h </w:instrText>
            </w:r>
            <w:r w:rsidR="0036128C">
              <w:rPr>
                <w:noProof/>
                <w:webHidden/>
              </w:rPr>
            </w:r>
            <w:r w:rsidR="0036128C">
              <w:rPr>
                <w:noProof/>
                <w:webHidden/>
              </w:rPr>
              <w:fldChar w:fldCharType="separate"/>
            </w:r>
            <w:r w:rsidR="0036128C">
              <w:rPr>
                <w:noProof/>
                <w:webHidden/>
              </w:rPr>
              <w:t>35</w:t>
            </w:r>
            <w:r w:rsidR="0036128C">
              <w:rPr>
                <w:noProof/>
                <w:webHidden/>
              </w:rPr>
              <w:fldChar w:fldCharType="end"/>
            </w:r>
          </w:hyperlink>
        </w:p>
        <w:p w14:paraId="38ECFCB8" w14:textId="665ADC33"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86" w:history="1">
            <w:r w:rsidR="0036128C" w:rsidRPr="00EC1059">
              <w:rPr>
                <w:rStyle w:val="Hyperlink"/>
                <w:noProof/>
              </w:rPr>
              <w:t>6. Conclusion</w:t>
            </w:r>
            <w:r w:rsidR="0036128C">
              <w:rPr>
                <w:noProof/>
                <w:webHidden/>
              </w:rPr>
              <w:tab/>
            </w:r>
            <w:r w:rsidR="0036128C">
              <w:rPr>
                <w:noProof/>
                <w:webHidden/>
              </w:rPr>
              <w:fldChar w:fldCharType="begin"/>
            </w:r>
            <w:r w:rsidR="0036128C">
              <w:rPr>
                <w:noProof/>
                <w:webHidden/>
              </w:rPr>
              <w:instrText xml:space="preserve"> PAGEREF _Toc200973186 \h </w:instrText>
            </w:r>
            <w:r w:rsidR="0036128C">
              <w:rPr>
                <w:noProof/>
                <w:webHidden/>
              </w:rPr>
            </w:r>
            <w:r w:rsidR="0036128C">
              <w:rPr>
                <w:noProof/>
                <w:webHidden/>
              </w:rPr>
              <w:fldChar w:fldCharType="separate"/>
            </w:r>
            <w:r w:rsidR="0036128C">
              <w:rPr>
                <w:noProof/>
                <w:webHidden/>
              </w:rPr>
              <w:t>36</w:t>
            </w:r>
            <w:r w:rsidR="0036128C">
              <w:rPr>
                <w:noProof/>
                <w:webHidden/>
              </w:rPr>
              <w:fldChar w:fldCharType="end"/>
            </w:r>
          </w:hyperlink>
        </w:p>
        <w:p w14:paraId="76A801AC" w14:textId="73DFCCAA" w:rsidR="0036128C" w:rsidRDefault="00000000">
          <w:pPr>
            <w:pStyle w:val="TOC1"/>
            <w:tabs>
              <w:tab w:val="right" w:leader="dot" w:pos="9062"/>
            </w:tabs>
            <w:rPr>
              <w:rFonts w:eastAsiaTheme="minorEastAsia" w:cstheme="minorBidi"/>
              <w:b w:val="0"/>
              <w:bCs w:val="0"/>
              <w:i w:val="0"/>
              <w:iCs w:val="0"/>
              <w:noProof/>
              <w:kern w:val="2"/>
              <w:szCs w:val="24"/>
              <w:lang w:val="en-US" w:bidi="ar-SA"/>
              <w14:ligatures w14:val="standardContextual"/>
            </w:rPr>
          </w:pPr>
          <w:hyperlink w:anchor="_Toc200973187" w:history="1">
            <w:r w:rsidR="0036128C" w:rsidRPr="00EC1059">
              <w:rPr>
                <w:rStyle w:val="Hyperlink"/>
                <w:noProof/>
              </w:rPr>
              <w:t>7.Reference List</w:t>
            </w:r>
            <w:r w:rsidR="0036128C">
              <w:rPr>
                <w:noProof/>
                <w:webHidden/>
              </w:rPr>
              <w:tab/>
            </w:r>
            <w:r w:rsidR="0036128C">
              <w:rPr>
                <w:noProof/>
                <w:webHidden/>
              </w:rPr>
              <w:fldChar w:fldCharType="begin"/>
            </w:r>
            <w:r w:rsidR="0036128C">
              <w:rPr>
                <w:noProof/>
                <w:webHidden/>
              </w:rPr>
              <w:instrText xml:space="preserve"> PAGEREF _Toc200973187 \h </w:instrText>
            </w:r>
            <w:r w:rsidR="0036128C">
              <w:rPr>
                <w:noProof/>
                <w:webHidden/>
              </w:rPr>
            </w:r>
            <w:r w:rsidR="0036128C">
              <w:rPr>
                <w:noProof/>
                <w:webHidden/>
              </w:rPr>
              <w:fldChar w:fldCharType="separate"/>
            </w:r>
            <w:r w:rsidR="0036128C">
              <w:rPr>
                <w:noProof/>
                <w:webHidden/>
              </w:rPr>
              <w:t>37</w:t>
            </w:r>
            <w:r w:rsidR="0036128C">
              <w:rPr>
                <w:noProof/>
                <w:webHidden/>
              </w:rPr>
              <w:fldChar w:fldCharType="end"/>
            </w:r>
          </w:hyperlink>
        </w:p>
        <w:p w14:paraId="2FBA4423" w14:textId="265513BB" w:rsidR="00791D03" w:rsidRDefault="00791D03" w:rsidP="00791D03">
          <w:r>
            <w:rPr>
              <w:b/>
              <w:bCs/>
              <w:noProof/>
            </w:rPr>
            <w:fldChar w:fldCharType="end"/>
          </w:r>
        </w:p>
      </w:sdtContent>
    </w:sdt>
    <w:p w14:paraId="7372B6A4" w14:textId="7D878F65" w:rsidR="004415DE" w:rsidRPr="004B5321" w:rsidRDefault="004415DE" w:rsidP="004B5321">
      <w:pPr>
        <w:rPr>
          <w:rFonts w:asciiTheme="minorHAnsi" w:eastAsiaTheme="majorEastAsia" w:hAnsiTheme="minorHAnsi" w:cstheme="minorHAnsi"/>
          <w:b/>
          <w:noProof/>
          <w:sz w:val="22"/>
          <w:szCs w:val="22"/>
          <w:lang w:val="en-GB"/>
        </w:rPr>
      </w:pPr>
    </w:p>
    <w:p w14:paraId="67ED70B7" w14:textId="77777777" w:rsidR="004415DE" w:rsidRDefault="004415DE">
      <w:pPr>
        <w:rPr>
          <w:rFonts w:asciiTheme="majorHAnsi" w:eastAsiaTheme="majorEastAsia" w:hAnsiTheme="majorHAnsi" w:cstheme="majorBidi"/>
          <w:b/>
          <w:bCs/>
          <w:color w:val="2F5496" w:themeColor="accent1" w:themeShade="BF"/>
          <w:sz w:val="28"/>
          <w:szCs w:val="28"/>
          <w:lang w:val="en-US" w:bidi="ar-SA"/>
        </w:rPr>
      </w:pPr>
      <w:r>
        <w:br w:type="page"/>
      </w:r>
    </w:p>
    <w:p w14:paraId="7F67D5E2" w14:textId="59E9584D" w:rsidR="00D43E68" w:rsidRPr="004C39EB" w:rsidRDefault="00D43E68" w:rsidP="0036128C">
      <w:pPr>
        <w:pStyle w:val="Heading1"/>
      </w:pPr>
      <w:bookmarkStart w:id="4" w:name="_Toc200973148"/>
      <w:r w:rsidRPr="004C39EB">
        <w:lastRenderedPageBreak/>
        <w:t>1. Introduction</w:t>
      </w:r>
      <w:bookmarkEnd w:id="4"/>
    </w:p>
    <w:p w14:paraId="152A3AB2" w14:textId="77777777" w:rsidR="00E07A2B" w:rsidRDefault="00E07A2B" w:rsidP="0036128C">
      <w:pPr>
        <w:spacing w:line="360" w:lineRule="auto"/>
        <w:rPr>
          <w:b/>
          <w:bCs/>
        </w:rPr>
      </w:pPr>
    </w:p>
    <w:p w14:paraId="4D854898" w14:textId="5F492C02" w:rsidR="00D43E68" w:rsidRPr="00970CFE" w:rsidRDefault="00D43E68" w:rsidP="0036128C">
      <w:pPr>
        <w:pStyle w:val="Heading2"/>
        <w:spacing w:line="360" w:lineRule="auto"/>
        <w:rPr>
          <w:b w:val="0"/>
        </w:rPr>
      </w:pPr>
      <w:bookmarkStart w:id="5" w:name="_Toc200973149"/>
      <w:r w:rsidRPr="00970CFE">
        <w:t>1.1 Context and Motivation</w:t>
      </w:r>
      <w:bookmarkEnd w:id="5"/>
    </w:p>
    <w:p w14:paraId="0D3ED50D" w14:textId="08B3B310" w:rsidR="00D43E68" w:rsidRPr="00970CFE" w:rsidRDefault="00D43E68" w:rsidP="0036128C">
      <w:pPr>
        <w:spacing w:line="360" w:lineRule="auto"/>
        <w:jc w:val="both"/>
      </w:pPr>
      <w:r w:rsidRPr="00970CFE">
        <w:t xml:space="preserve">India’s rapid economic ascent over the past three decades has transformed it into a key player in the global marketplace. Yet, alongside remarkable GDP growth averaging over 7% annually since 2010, the country’s </w:t>
      </w:r>
      <w:r w:rsidR="00CC700E" w:rsidRPr="00970CFE">
        <w:t>macro financial</w:t>
      </w:r>
      <w:r w:rsidRPr="00970CFE">
        <w:t xml:space="preserve"> systems have exhibited mounting vulnerabilities. Capital account liberalization, the rise of non</w:t>
      </w:r>
      <w:r w:rsidRPr="00970CFE">
        <w:noBreakHyphen/>
        <w:t>bank financial companies (NBFCs), and the persistent management of the rupee’s exchange rate have introduced persistent fragilities. An appreciated currency</w:t>
      </w:r>
      <w:r w:rsidR="00ED0E66">
        <w:t xml:space="preserve"> </w:t>
      </w:r>
      <w:r w:rsidRPr="00970CFE">
        <w:t>while taming imported inflation</w:t>
      </w:r>
      <w:r w:rsidR="00ED0E66">
        <w:t xml:space="preserve"> </w:t>
      </w:r>
      <w:r w:rsidRPr="00970CFE">
        <w:t>can inadvertently fuel credit booms by raising collateral values and encouraging risk</w:t>
      </w:r>
      <w:r w:rsidRPr="00970CFE">
        <w:noBreakHyphen/>
        <w:t>taking. Conversely, sudden reversals in currency valuation can strain borrowers, particularly those with foreign</w:t>
      </w:r>
      <w:r w:rsidRPr="00970CFE">
        <w:noBreakHyphen/>
        <w:t>currency liabilities, and precipitate financial distress.</w:t>
      </w:r>
    </w:p>
    <w:p w14:paraId="3E80016E" w14:textId="08E43979" w:rsidR="00CC700E" w:rsidRDefault="00D43E68" w:rsidP="0036128C">
      <w:pPr>
        <w:spacing w:line="360" w:lineRule="auto"/>
        <w:jc w:val="both"/>
      </w:pPr>
      <w:r w:rsidRPr="00970CFE">
        <w:t>This interplay between exchange</w:t>
      </w:r>
      <w:r w:rsidRPr="00970CFE">
        <w:noBreakHyphen/>
        <w:t>rate dynamics and private lending is not unique to India. Historical crises</w:t>
      </w:r>
      <w:r w:rsidR="00ED0E66">
        <w:t xml:space="preserve"> </w:t>
      </w:r>
      <w:r w:rsidRPr="00970CFE">
        <w:t>from the East Asian turmoil of 1997 to Argentina’s crash in the early 2000s</w:t>
      </w:r>
      <w:r w:rsidR="00ED0E66">
        <w:t xml:space="preserve"> </w:t>
      </w:r>
      <w:r w:rsidRPr="00970CFE">
        <w:t>underscore that currency misalignments and rapid credit growth often co</w:t>
      </w:r>
      <w:r w:rsidRPr="00970CFE">
        <w:noBreakHyphen/>
        <w:t>occur and magnify systemic risk. Yet, India’s institutional and regulatory framework differs markedly: the Reserve Bank of India (RBI) actively manages a “soft” float, NBFCs penetrate credit markets deeply, and informal credit channels remain significant. These features call for a focused empirical investigation to uncover whether and how exchange</w:t>
      </w:r>
      <w:r w:rsidRPr="00970CFE">
        <w:noBreakHyphen/>
        <w:t>rate pressures and lending booms contribute to financial instability in India.</w:t>
      </w:r>
    </w:p>
    <w:p w14:paraId="513A6031" w14:textId="7EEA59AE" w:rsidR="00D43E68" w:rsidRPr="00CC700E" w:rsidRDefault="00CC700E" w:rsidP="0036128C">
      <w:pPr>
        <w:spacing w:line="360" w:lineRule="auto"/>
      </w:pPr>
      <w:r>
        <w:br w:type="page"/>
      </w:r>
    </w:p>
    <w:p w14:paraId="4BF3C88D" w14:textId="63AF2564" w:rsidR="00D43E68" w:rsidRPr="00970CFE" w:rsidRDefault="00D43E68" w:rsidP="0036128C">
      <w:pPr>
        <w:pStyle w:val="Heading2"/>
        <w:spacing w:line="360" w:lineRule="auto"/>
        <w:rPr>
          <w:b w:val="0"/>
        </w:rPr>
      </w:pPr>
      <w:bookmarkStart w:id="6" w:name="_Toc200973150"/>
      <w:r w:rsidRPr="00970CFE">
        <w:lastRenderedPageBreak/>
        <w:t>1.2 Research Question and Objectives</w:t>
      </w:r>
      <w:bookmarkEnd w:id="6"/>
    </w:p>
    <w:p w14:paraId="6261B8A4" w14:textId="77777777" w:rsidR="00D43E68" w:rsidRPr="00970CFE" w:rsidRDefault="00D43E68" w:rsidP="0036128C">
      <w:pPr>
        <w:spacing w:line="360" w:lineRule="auto"/>
        <w:jc w:val="both"/>
      </w:pPr>
      <w:r w:rsidRPr="00970CFE">
        <w:t>The central question of this thesis is:</w:t>
      </w:r>
    </w:p>
    <w:p w14:paraId="59F554B4" w14:textId="77777777" w:rsidR="00D43E68" w:rsidRPr="00970CFE" w:rsidRDefault="00D43E68" w:rsidP="0036128C">
      <w:pPr>
        <w:spacing w:line="360" w:lineRule="auto"/>
        <w:jc w:val="both"/>
      </w:pPr>
      <w:r w:rsidRPr="00970CFE">
        <w:rPr>
          <w:b/>
          <w:bCs/>
        </w:rPr>
        <w:t>Do inflated exchange rates and private lending levels lead to financial instability in India?</w:t>
      </w:r>
    </w:p>
    <w:p w14:paraId="33BF5129" w14:textId="77777777" w:rsidR="00D43E68" w:rsidRPr="00970CFE" w:rsidRDefault="00D43E68" w:rsidP="0036128C">
      <w:pPr>
        <w:spacing w:line="360" w:lineRule="auto"/>
        <w:jc w:val="both"/>
      </w:pPr>
      <w:r w:rsidRPr="00970CFE">
        <w:t>To address this question, the study pursues four objectives:</w:t>
      </w:r>
    </w:p>
    <w:p w14:paraId="1234180F" w14:textId="124708EE" w:rsidR="00D43E68" w:rsidRPr="00970CFE" w:rsidRDefault="00D43E68" w:rsidP="0036128C">
      <w:pPr>
        <w:numPr>
          <w:ilvl w:val="0"/>
          <w:numId w:val="3"/>
        </w:numPr>
        <w:spacing w:line="360" w:lineRule="auto"/>
        <w:jc w:val="both"/>
      </w:pPr>
      <w:r w:rsidRPr="00970CFE">
        <w:rPr>
          <w:b/>
          <w:bCs/>
        </w:rPr>
        <w:t>Quantify</w:t>
      </w:r>
      <w:r w:rsidRPr="00970CFE">
        <w:t> the dynamic relationships among exchange rates, private sector credit</w:t>
      </w:r>
      <w:r w:rsidR="003A3432">
        <w:t xml:space="preserve"> </w:t>
      </w:r>
      <w:r w:rsidRPr="00970CFE">
        <w:t>using Vector Autoregressive (VAR) models..</w:t>
      </w:r>
    </w:p>
    <w:p w14:paraId="738BA753" w14:textId="77777777" w:rsidR="00D43E68" w:rsidRPr="00970CFE" w:rsidRDefault="00D43E68" w:rsidP="0036128C">
      <w:pPr>
        <w:numPr>
          <w:ilvl w:val="0"/>
          <w:numId w:val="3"/>
        </w:numPr>
        <w:spacing w:line="360" w:lineRule="auto"/>
        <w:jc w:val="both"/>
      </w:pPr>
      <w:r w:rsidRPr="00970CFE">
        <w:rPr>
          <w:b/>
          <w:bCs/>
        </w:rPr>
        <w:t>Estimate</w:t>
      </w:r>
      <w:r w:rsidRPr="00970CFE">
        <w:t> impulse response functions to gauge the magnitude and temporal effects of exchange</w:t>
      </w:r>
      <w:r w:rsidRPr="00970CFE">
        <w:noBreakHyphen/>
        <w:t>rate and credit shocks on macroeconomic stability.</w:t>
      </w:r>
    </w:p>
    <w:p w14:paraId="4F9F1DFA" w14:textId="77777777" w:rsidR="00D43E68" w:rsidRPr="00970CFE" w:rsidRDefault="00D43E68" w:rsidP="0036128C">
      <w:pPr>
        <w:numPr>
          <w:ilvl w:val="0"/>
          <w:numId w:val="3"/>
        </w:numPr>
        <w:spacing w:line="360" w:lineRule="auto"/>
        <w:jc w:val="both"/>
      </w:pPr>
      <w:r w:rsidRPr="00970CFE">
        <w:rPr>
          <w:b/>
          <w:bCs/>
        </w:rPr>
        <w:t>Provide</w:t>
      </w:r>
      <w:r w:rsidRPr="00970CFE">
        <w:t> policy recommendations for macroprudential and exchange</w:t>
      </w:r>
      <w:r w:rsidRPr="00970CFE">
        <w:noBreakHyphen/>
        <w:t>rate management strategies that mitigate systemic vulnerabilities.</w:t>
      </w:r>
    </w:p>
    <w:p w14:paraId="264DDF35" w14:textId="77777777" w:rsidR="00D43E68" w:rsidRPr="00970CFE" w:rsidRDefault="00D43E68" w:rsidP="0036128C">
      <w:pPr>
        <w:spacing w:line="360" w:lineRule="auto"/>
        <w:jc w:val="both"/>
      </w:pPr>
      <w:r w:rsidRPr="00970CFE">
        <w:t>Together, these objectives aim to deliver a nuanced understanding of how currency valuation and credit expansion interact to shape India’s financial resilience.</w:t>
      </w:r>
    </w:p>
    <w:p w14:paraId="1DBB6E42" w14:textId="77777777" w:rsidR="00ED0E66" w:rsidRDefault="00ED0E66" w:rsidP="0036128C">
      <w:pPr>
        <w:spacing w:line="360" w:lineRule="auto"/>
        <w:rPr>
          <w:b/>
          <w:bCs/>
        </w:rPr>
      </w:pPr>
      <w:r>
        <w:rPr>
          <w:b/>
          <w:bCs/>
        </w:rPr>
        <w:br w:type="page"/>
      </w:r>
    </w:p>
    <w:p w14:paraId="1478B080" w14:textId="6D818AEC" w:rsidR="00D43E68" w:rsidRPr="00970CFE" w:rsidRDefault="00D43E68" w:rsidP="0036128C">
      <w:pPr>
        <w:pStyle w:val="Heading2"/>
        <w:spacing w:line="360" w:lineRule="auto"/>
        <w:rPr>
          <w:b w:val="0"/>
        </w:rPr>
      </w:pPr>
      <w:bookmarkStart w:id="7" w:name="_Toc200973151"/>
      <w:r w:rsidRPr="00970CFE">
        <w:lastRenderedPageBreak/>
        <w:t>1.3 Background and Historical Development</w:t>
      </w:r>
      <w:bookmarkEnd w:id="7"/>
    </w:p>
    <w:p w14:paraId="027CBFF7" w14:textId="77777777" w:rsidR="00F060BA" w:rsidRPr="00F060BA" w:rsidRDefault="00F060BA" w:rsidP="0036128C">
      <w:pPr>
        <w:spacing w:line="360" w:lineRule="auto"/>
        <w:jc w:val="both"/>
        <w:rPr>
          <w:lang w:val="en-US"/>
        </w:rPr>
      </w:pPr>
      <w:r w:rsidRPr="00F060BA">
        <w:rPr>
          <w:lang w:val="en-US"/>
        </w:rPr>
        <w:t>Since opening up its economy in 1991, India has moved away from a tightly controlled exchange rate system to a more flexible one. Now, the Reserve Bank of India (RBI) sets daily reference rates and steps in occasionally to smooth out any major swings. This shift has faced real tests during a few key financial crises:</w:t>
      </w:r>
    </w:p>
    <w:p w14:paraId="06DD10D8" w14:textId="77777777" w:rsidR="00F060BA" w:rsidRPr="00F060BA" w:rsidRDefault="00F060BA" w:rsidP="0036128C">
      <w:pPr>
        <w:spacing w:line="360" w:lineRule="auto"/>
        <w:jc w:val="both"/>
        <w:rPr>
          <w:lang w:val="en-US"/>
        </w:rPr>
      </w:pPr>
      <w:r w:rsidRPr="00F060BA">
        <w:rPr>
          <w:lang w:val="en-US"/>
        </w:rPr>
        <w:t>Global Financial Crisis (2008–09): Even though the RBI tried to step in, the rupee still fell by 20%. Once the crisis passed, a wave of liquidity led to a lending boom as credit as a share of GDP jumped from 45% in 2009 to 60% in 2013.</w:t>
      </w:r>
    </w:p>
    <w:p w14:paraId="69DBE517" w14:textId="77777777" w:rsidR="00F060BA" w:rsidRPr="00F060BA" w:rsidRDefault="00F060BA" w:rsidP="0036128C">
      <w:pPr>
        <w:spacing w:line="360" w:lineRule="auto"/>
        <w:jc w:val="both"/>
        <w:rPr>
          <w:lang w:val="en-US"/>
        </w:rPr>
      </w:pPr>
      <w:r w:rsidRPr="00F060BA">
        <w:rPr>
          <w:lang w:val="en-US"/>
        </w:rPr>
        <w:t>Taper Tantrum (2013): Just the expectation that the U.S. would tighten its monetary policy caused the rupee to slide and money to flow out of the country. Non-bank lenders and companies with dollar debts were hit hard, which pushed up bad loans in the system.</w:t>
      </w:r>
    </w:p>
    <w:p w14:paraId="33F0A426" w14:textId="77777777" w:rsidR="00F060BA" w:rsidRPr="00F060BA" w:rsidRDefault="00F060BA" w:rsidP="0036128C">
      <w:pPr>
        <w:spacing w:line="360" w:lineRule="auto"/>
        <w:jc w:val="both"/>
        <w:rPr>
          <w:lang w:val="en-US"/>
        </w:rPr>
      </w:pPr>
      <w:r w:rsidRPr="00F060BA">
        <w:rPr>
          <w:lang w:val="en-US"/>
        </w:rPr>
        <w:t>NBFC Liquidity Crunch (2018): When IL&amp;FS defaulted, it exposed deep problems in the shadow banking sector. This led to tighter credit conditions and strain in interbank lending.</w:t>
      </w:r>
    </w:p>
    <w:p w14:paraId="31D61993" w14:textId="77777777" w:rsidR="00F060BA" w:rsidRPr="00F060BA" w:rsidRDefault="00F060BA" w:rsidP="0036128C">
      <w:pPr>
        <w:spacing w:line="360" w:lineRule="auto"/>
        <w:jc w:val="both"/>
        <w:rPr>
          <w:lang w:val="en-US"/>
        </w:rPr>
      </w:pPr>
      <w:r w:rsidRPr="00F060BA">
        <w:rPr>
          <w:lang w:val="en-US"/>
        </w:rPr>
        <w:t>These events show how swings in the exchange rate and credit cycles at home can work together to shake up financial stability. Still, it’s unclear which tends to trigger the other or what specific conditions turn that connection into a full-blown crisis. This thesis digs into that question using India as a case study.</w:t>
      </w:r>
    </w:p>
    <w:p w14:paraId="37C5006F" w14:textId="77777777" w:rsidR="00D43E68" w:rsidRDefault="00D43E68" w:rsidP="0036128C">
      <w:pPr>
        <w:spacing w:line="360" w:lineRule="auto"/>
        <w:rPr>
          <w:b/>
          <w:bCs/>
        </w:rPr>
      </w:pPr>
    </w:p>
    <w:p w14:paraId="1C862B95" w14:textId="6E3664C6" w:rsidR="00D43E68" w:rsidRPr="00970CFE" w:rsidRDefault="00D43E68" w:rsidP="0036128C">
      <w:pPr>
        <w:pStyle w:val="Heading2"/>
        <w:spacing w:line="360" w:lineRule="auto"/>
        <w:rPr>
          <w:b w:val="0"/>
        </w:rPr>
      </w:pPr>
      <w:bookmarkStart w:id="8" w:name="_Toc200973152"/>
      <w:r w:rsidRPr="00970CFE">
        <w:t>1.4 Importance and Contribution of the Study</w:t>
      </w:r>
      <w:bookmarkEnd w:id="8"/>
    </w:p>
    <w:p w14:paraId="5658411F" w14:textId="77777777" w:rsidR="00F060BA" w:rsidRPr="00F060BA" w:rsidRDefault="00F060BA" w:rsidP="0036128C">
      <w:pPr>
        <w:spacing w:line="360" w:lineRule="auto"/>
        <w:jc w:val="both"/>
        <w:rPr>
          <w:lang w:val="en-US"/>
        </w:rPr>
      </w:pPr>
      <w:r w:rsidRPr="00F060BA">
        <w:rPr>
          <w:lang w:val="en-US"/>
        </w:rPr>
        <w:t>This research makes a meaningful contribution to both academic discussions and policymaking in a few important ways.</w:t>
      </w:r>
    </w:p>
    <w:p w14:paraId="12C725D8" w14:textId="77777777" w:rsidR="00F060BA" w:rsidRPr="00F060BA" w:rsidRDefault="00F060BA" w:rsidP="0036128C">
      <w:pPr>
        <w:spacing w:line="360" w:lineRule="auto"/>
        <w:jc w:val="both"/>
        <w:rPr>
          <w:lang w:val="en-US"/>
        </w:rPr>
      </w:pPr>
      <w:r w:rsidRPr="00F060BA">
        <w:rPr>
          <w:lang w:val="en-US"/>
        </w:rPr>
        <w:t>First, it takes a close look at India, which hasn’t received much attention in this context. While there’s been a fair amount of global research on the relationship between credit and currency cycles, not many studies have zoomed in on India’s unique financial setup. Here, non-bank financial companies (NBFCs) and informal lending still play a major role, making it quite different from more developed markets. This study helps fill that gap by focusing specifically on the Indian case.</w:t>
      </w:r>
    </w:p>
    <w:p w14:paraId="7D03924D" w14:textId="77777777" w:rsidR="00F060BA" w:rsidRPr="00F060BA" w:rsidRDefault="00F060BA" w:rsidP="0036128C">
      <w:pPr>
        <w:spacing w:line="360" w:lineRule="auto"/>
        <w:jc w:val="both"/>
        <w:rPr>
          <w:lang w:val="en-US"/>
        </w:rPr>
      </w:pPr>
      <w:r w:rsidRPr="00F060BA">
        <w:rPr>
          <w:lang w:val="en-US"/>
        </w:rPr>
        <w:t xml:space="preserve">Second, it tracks how the relationship between credit and currency shifts over time, which is something most traditional models don’t really capture. Using rolling VAR estimation along with structural break tests like CUSUM and PELT, the research shows how these connections </w:t>
      </w:r>
      <w:r w:rsidRPr="00F060BA">
        <w:rPr>
          <w:lang w:val="en-US"/>
        </w:rPr>
        <w:lastRenderedPageBreak/>
        <w:t>evolve rather than assuming they stay the same. That dynamic angle adds a layer of insight that static approaches often miss.</w:t>
      </w:r>
    </w:p>
    <w:p w14:paraId="1E5179C0" w14:textId="69247EEF" w:rsidR="004B5321" w:rsidRDefault="00F060BA" w:rsidP="0036128C">
      <w:pPr>
        <w:spacing w:line="360" w:lineRule="auto"/>
        <w:jc w:val="both"/>
        <w:rPr>
          <w:lang w:val="en-US"/>
        </w:rPr>
      </w:pPr>
      <w:r w:rsidRPr="00F060BA">
        <w:rPr>
          <w:lang w:val="en-US"/>
        </w:rPr>
        <w:t>Finally, the study has real-world value. For the Reserve Bank of India and other players in the market, keeping an eye on these evolving spillover effects could be a helpful tool. Spotting changes in these patterns early might give policymakers a head start in managing risks and responding before problems escalate. In that way, the research doesn’t just add to academic knowledge. It also lays out a practical framework for recognizing early warning signs of financial stress in India’s unique economic environment</w:t>
      </w:r>
    </w:p>
    <w:p w14:paraId="1060B5A0" w14:textId="23EBF334" w:rsidR="00BF44EF" w:rsidRPr="00F060BA" w:rsidRDefault="004B5321" w:rsidP="0036128C">
      <w:pPr>
        <w:spacing w:line="360" w:lineRule="auto"/>
        <w:rPr>
          <w:lang w:val="en-US"/>
        </w:rPr>
      </w:pPr>
      <w:r>
        <w:rPr>
          <w:lang w:val="en-US"/>
        </w:rPr>
        <w:br w:type="page"/>
      </w:r>
    </w:p>
    <w:p w14:paraId="31251842" w14:textId="3C75A609" w:rsidR="004415DE" w:rsidRPr="00AA0D2A" w:rsidRDefault="00BF44EF" w:rsidP="00AA0D2A">
      <w:pPr>
        <w:pStyle w:val="Heading1"/>
      </w:pPr>
      <w:bookmarkStart w:id="9" w:name="_Toc200973153"/>
      <w:bookmarkStart w:id="10" w:name="_Hlk200838874"/>
      <w:r w:rsidRPr="004C39EB">
        <w:lastRenderedPageBreak/>
        <w:t>2. Literature Review</w:t>
      </w:r>
      <w:bookmarkEnd w:id="9"/>
    </w:p>
    <w:p w14:paraId="3359D02C" w14:textId="77777777" w:rsidR="004415DE" w:rsidRPr="004415DE" w:rsidRDefault="004415DE" w:rsidP="0036128C">
      <w:pPr>
        <w:pStyle w:val="Heading2"/>
        <w:spacing w:line="360" w:lineRule="auto"/>
        <w:rPr>
          <w:lang w:val="en-US" w:bidi="ar-SA"/>
        </w:rPr>
      </w:pPr>
      <w:bookmarkStart w:id="11" w:name="_Toc200973154"/>
      <w:bookmarkStart w:id="12" w:name="_Hlk200838784"/>
      <w:r w:rsidRPr="004415DE">
        <w:rPr>
          <w:lang w:val="en-US" w:bidi="ar-SA"/>
        </w:rPr>
        <w:t>2.1 Theoretical Frameworks: Financial Channels Linking Credit and Currency</w:t>
      </w:r>
      <w:bookmarkEnd w:id="11"/>
    </w:p>
    <w:p w14:paraId="179406FF" w14:textId="4B2081AA" w:rsidR="004415DE" w:rsidRPr="004415DE" w:rsidRDefault="004415DE" w:rsidP="0036128C">
      <w:pPr>
        <w:spacing w:line="360" w:lineRule="auto"/>
        <w:jc w:val="both"/>
        <w:rPr>
          <w:lang w:val="en-US" w:bidi="ar-SA"/>
        </w:rPr>
      </w:pPr>
      <w:r w:rsidRPr="004415DE">
        <w:rPr>
          <w:lang w:val="en-US" w:bidi="ar-SA"/>
        </w:rPr>
        <w:t>At the heart of this thesis is the idea that credit conditions and exchange rate movements don’t operate in isolation</w:t>
      </w:r>
      <w:r w:rsidR="004C39EB">
        <w:rPr>
          <w:lang w:val="en-US" w:bidi="ar-SA"/>
        </w:rPr>
        <w:t xml:space="preserve"> </w:t>
      </w:r>
      <w:r w:rsidRPr="004415DE">
        <w:rPr>
          <w:lang w:val="en-US" w:bidi="ar-SA"/>
        </w:rPr>
        <w:t xml:space="preserve">they feed into each other, often in ways that amplify economic ups and downs. This interaction is best explained through what’s known as financial accelerator models. One of the key concepts here is that shifts in asset prices, including currency values, change how strong or weak borrowers’ balance sheets look. That in turn affects how easily they can get financing. </w:t>
      </w:r>
      <w:proofErr w:type="spellStart"/>
      <w:r w:rsidRPr="004415DE">
        <w:rPr>
          <w:lang w:val="en-US" w:bidi="ar-SA"/>
        </w:rPr>
        <w:t>Kiyotaki</w:t>
      </w:r>
      <w:proofErr w:type="spellEnd"/>
      <w:r w:rsidRPr="004415DE">
        <w:rPr>
          <w:lang w:val="en-US" w:bidi="ar-SA"/>
        </w:rPr>
        <w:t xml:space="preserve"> and Moore (1997) explained how these balance sheet effects can make booms bigger and busts worse. For instance, when the exchange rate strengthens, it boosts the rupee value of assets held as collateral</w:t>
      </w:r>
      <w:r w:rsidR="004C39EB">
        <w:rPr>
          <w:lang w:val="en-US" w:bidi="ar-SA"/>
        </w:rPr>
        <w:t xml:space="preserve"> </w:t>
      </w:r>
      <w:r w:rsidRPr="004415DE">
        <w:rPr>
          <w:lang w:val="en-US" w:bidi="ar-SA"/>
        </w:rPr>
        <w:t>like land or property</w:t>
      </w:r>
      <w:r w:rsidR="004C39EB">
        <w:rPr>
          <w:lang w:val="en-US" w:bidi="ar-SA"/>
        </w:rPr>
        <w:t xml:space="preserve"> </w:t>
      </w:r>
      <w:r w:rsidRPr="004415DE">
        <w:rPr>
          <w:lang w:val="en-US" w:bidi="ar-SA"/>
        </w:rPr>
        <w:t>which lets borrowers access more credit. On the flip side, when the rupee weakens, it shrinks collateral value, tightens credit conditions, and deepens any downturn.</w:t>
      </w:r>
    </w:p>
    <w:p w14:paraId="24DD2467" w14:textId="559A6856" w:rsidR="004415DE" w:rsidRPr="004415DE" w:rsidRDefault="004415DE" w:rsidP="0036128C">
      <w:pPr>
        <w:spacing w:line="360" w:lineRule="auto"/>
        <w:jc w:val="both"/>
        <w:rPr>
          <w:lang w:val="en-US" w:bidi="ar-SA"/>
        </w:rPr>
      </w:pPr>
      <w:r w:rsidRPr="004415DE">
        <w:rPr>
          <w:lang w:val="en-US" w:bidi="ar-SA"/>
        </w:rPr>
        <w:t>This dynamic is even more intense in India, where real assets</w:t>
      </w:r>
      <w:r w:rsidR="004C39EB">
        <w:rPr>
          <w:lang w:val="en-US" w:bidi="ar-SA"/>
        </w:rPr>
        <w:t xml:space="preserve"> </w:t>
      </w:r>
      <w:r w:rsidRPr="004415DE">
        <w:rPr>
          <w:lang w:val="en-US" w:bidi="ar-SA"/>
        </w:rPr>
        <w:t>especially land, property, and gold</w:t>
      </w:r>
      <w:r w:rsidR="004C39EB">
        <w:rPr>
          <w:lang w:val="en-US" w:bidi="ar-SA"/>
        </w:rPr>
        <w:t xml:space="preserve"> </w:t>
      </w:r>
      <w:r w:rsidRPr="004415DE">
        <w:rPr>
          <w:lang w:val="en-US" w:bidi="ar-SA"/>
        </w:rPr>
        <w:t>play a major role in securing loans. In rural areas, where informal lending still dominates, the impact is especially sharp. The value of these assets can swing based on perception, not just market fundamentals. And since informal lenders don’t rely on formal legal frameworks, they’re even more sensitive to these shifts. On top of that, there’s a clear imbalance in information between lenders and borrowers. Gertler and Gilchrist (1994, 1998) showed how this kind of asymmetry leads to credit rationing</w:t>
      </w:r>
      <w:r w:rsidR="004C39EB">
        <w:rPr>
          <w:lang w:val="en-US" w:bidi="ar-SA"/>
        </w:rPr>
        <w:t xml:space="preserve"> </w:t>
      </w:r>
      <w:r w:rsidRPr="004415DE">
        <w:rPr>
          <w:lang w:val="en-US" w:bidi="ar-SA"/>
        </w:rPr>
        <w:t>where even willing borrowers can’t get loans</w:t>
      </w:r>
      <w:r w:rsidR="004C39EB">
        <w:rPr>
          <w:lang w:val="en-US" w:bidi="ar-SA"/>
        </w:rPr>
        <w:t xml:space="preserve"> </w:t>
      </w:r>
      <w:r w:rsidRPr="004415DE">
        <w:rPr>
          <w:lang w:val="en-US" w:bidi="ar-SA"/>
        </w:rPr>
        <w:t>especially during periods of exchange rate volatility when net worth can vanish quickly.</w:t>
      </w:r>
    </w:p>
    <w:p w14:paraId="52CA4CFF" w14:textId="77777777" w:rsidR="004415DE" w:rsidRPr="004415DE" w:rsidRDefault="004415DE" w:rsidP="0036128C">
      <w:pPr>
        <w:spacing w:line="360" w:lineRule="auto"/>
        <w:jc w:val="both"/>
        <w:rPr>
          <w:lang w:val="en-US" w:bidi="ar-SA"/>
        </w:rPr>
      </w:pPr>
      <w:r w:rsidRPr="004415DE">
        <w:rPr>
          <w:lang w:val="en-US" w:bidi="ar-SA"/>
        </w:rPr>
        <w:t>Things get even more complicated in India’s case, where formal finance isn’t accessible to everyone. According to the RBI, in some states, nearly 40% of rural credit still comes from informal sources. These arrangements often depend on informal or non-legal forms of collateral, making them more prone to the kind of volatility that’s hard to capture in models designed for developed economies. That’s why the financial accelerator effect can be stronger and more unpredictable in markets like India.</w:t>
      </w:r>
    </w:p>
    <w:p w14:paraId="35F8BAB7" w14:textId="77777777" w:rsidR="004415DE" w:rsidRPr="004415DE" w:rsidRDefault="004415DE" w:rsidP="0036128C">
      <w:pPr>
        <w:spacing w:line="360" w:lineRule="auto"/>
        <w:jc w:val="both"/>
        <w:rPr>
          <w:lang w:val="en-US" w:bidi="ar-SA"/>
        </w:rPr>
      </w:pPr>
      <w:r w:rsidRPr="004415DE">
        <w:rPr>
          <w:lang w:val="en-US" w:bidi="ar-SA"/>
        </w:rPr>
        <w:t xml:space="preserve">Another big piece of the puzzle is the currency mismatch problem. This happens when borrowers take out loans in foreign currency but earn revenue in rupees. The idea of “original sin,” described by </w:t>
      </w:r>
      <w:proofErr w:type="spellStart"/>
      <w:r w:rsidRPr="004415DE">
        <w:rPr>
          <w:lang w:val="en-US" w:bidi="ar-SA"/>
        </w:rPr>
        <w:t>Eichengreen</w:t>
      </w:r>
      <w:proofErr w:type="spellEnd"/>
      <w:r w:rsidRPr="004415DE">
        <w:rPr>
          <w:lang w:val="en-US" w:bidi="ar-SA"/>
        </w:rPr>
        <w:t xml:space="preserve"> and Hausmann (2005), gets at the difficulty many emerging markets face in borrowing in their own currency. India has generally been cautious with foreign debt, but the rise of rupee-denominated masala bonds introduces a quieter form of this risk. </w:t>
      </w:r>
      <w:r w:rsidRPr="004415DE">
        <w:rPr>
          <w:lang w:val="en-US" w:bidi="ar-SA"/>
        </w:rPr>
        <w:lastRenderedPageBreak/>
        <w:t>When the rupee weakens, the real cost of paying back these debts goes up, squeezing balance sheets and increasing the chance of default.</w:t>
      </w:r>
    </w:p>
    <w:p w14:paraId="221FBD6C" w14:textId="1480B106" w:rsidR="004415DE" w:rsidRPr="004415DE" w:rsidRDefault="004415DE" w:rsidP="0036128C">
      <w:pPr>
        <w:spacing w:line="360" w:lineRule="auto"/>
        <w:jc w:val="both"/>
        <w:rPr>
          <w:lang w:val="en-US" w:bidi="ar-SA"/>
        </w:rPr>
      </w:pPr>
      <w:r w:rsidRPr="004415DE">
        <w:rPr>
          <w:lang w:val="en-US" w:bidi="ar-SA"/>
        </w:rPr>
        <w:t>To fully understand this environment, you also have to consider the limitations set by the Mundell-Fleming trilemma. India can’t simultaneously have a fixed exchange rate, free capital flows, and full control over its own monetary policy. In practice, India chooses a middle path: a managed float with some capital controls, allowing the RBI to step in when needed. But when the central bank intervenes to stabilize the rupee, it often ends up injecting liquidity into the system. Unless that’s absorbed (or sterilized), it can fuel more lending, especially to riskier borrowers</w:t>
      </w:r>
      <w:r w:rsidR="004C39EB">
        <w:rPr>
          <w:lang w:val="en-US" w:bidi="ar-SA"/>
        </w:rPr>
        <w:t xml:space="preserve"> </w:t>
      </w:r>
      <w:r w:rsidRPr="004415DE">
        <w:rPr>
          <w:lang w:val="en-US" w:bidi="ar-SA"/>
        </w:rPr>
        <w:t xml:space="preserve">a process </w:t>
      </w:r>
      <w:proofErr w:type="spellStart"/>
      <w:r w:rsidRPr="004415DE">
        <w:rPr>
          <w:lang w:val="en-US" w:bidi="ar-SA"/>
        </w:rPr>
        <w:t>Borio</w:t>
      </w:r>
      <w:proofErr w:type="spellEnd"/>
      <w:r w:rsidRPr="004415DE">
        <w:rPr>
          <w:lang w:val="en-US" w:bidi="ar-SA"/>
        </w:rPr>
        <w:t xml:space="preserve"> and Zhu (2012) call the risk-taking channel.</w:t>
      </w:r>
    </w:p>
    <w:p w14:paraId="36B2A1E4" w14:textId="77777777" w:rsidR="004415DE" w:rsidRPr="004415DE" w:rsidRDefault="004415DE" w:rsidP="0036128C">
      <w:pPr>
        <w:spacing w:line="360" w:lineRule="auto"/>
        <w:jc w:val="both"/>
        <w:rPr>
          <w:lang w:val="en-US" w:bidi="ar-SA"/>
        </w:rPr>
      </w:pPr>
      <w:r w:rsidRPr="004415DE">
        <w:rPr>
          <w:lang w:val="en-US" w:bidi="ar-SA"/>
        </w:rPr>
        <w:t>Global financial conditions play a huge role too. Adrian and Shin (2010) argue that investor risk appetite and interest rates in developed economies shape how much money flows into emerging markets. When rates are low abroad, investors hunt for better returns and pour money into markets like India. This pushes up the rupee and drives credit growth. We saw this after 2009, when global interest rates stayed low and domestic demand picked up. Non-banking financial companies (NBFCs) in India, particularly those lending to consumers and infrastructure, saw rapid growth during this time.</w:t>
      </w:r>
    </w:p>
    <w:p w14:paraId="7DF97081" w14:textId="77777777" w:rsidR="004415DE" w:rsidRPr="004415DE" w:rsidRDefault="004415DE" w:rsidP="0036128C">
      <w:pPr>
        <w:spacing w:line="360" w:lineRule="auto"/>
        <w:jc w:val="both"/>
        <w:rPr>
          <w:lang w:val="en-US" w:bidi="ar-SA"/>
        </w:rPr>
      </w:pPr>
      <w:r w:rsidRPr="004415DE">
        <w:rPr>
          <w:lang w:val="en-US" w:bidi="ar-SA"/>
        </w:rPr>
        <w:t xml:space="preserve">Expectations matter as well. Devereux and Lane (2003) showed how people’s beliefs about future exchange rates can influence how much they borrow. If firms or households think the rupee will stay strong, they might borrow more than they should. This happened in India in the years leading up to the taper tantrum, when capital kept flowing in under the assumption that the rupee would remain stable. But when the U.S. signaled it was tightening monetary policy, those flows quickly reversed, catching many off </w:t>
      </w:r>
      <w:proofErr w:type="gramStart"/>
      <w:r w:rsidRPr="004415DE">
        <w:rPr>
          <w:lang w:val="en-US" w:bidi="ar-SA"/>
        </w:rPr>
        <w:t>guard</w:t>
      </w:r>
      <w:proofErr w:type="gramEnd"/>
      <w:r w:rsidRPr="004415DE">
        <w:rPr>
          <w:lang w:val="en-US" w:bidi="ar-SA"/>
        </w:rPr>
        <w:t>.</w:t>
      </w:r>
    </w:p>
    <w:p w14:paraId="655E0C68" w14:textId="74CCA09A" w:rsidR="004415DE" w:rsidRPr="004415DE" w:rsidRDefault="004415DE" w:rsidP="0036128C">
      <w:pPr>
        <w:spacing w:line="360" w:lineRule="auto"/>
        <w:jc w:val="both"/>
        <w:rPr>
          <w:lang w:val="en-US" w:bidi="ar-SA"/>
        </w:rPr>
      </w:pPr>
      <w:r w:rsidRPr="004415DE">
        <w:rPr>
          <w:lang w:val="en-US" w:bidi="ar-SA"/>
        </w:rPr>
        <w:t>All these theories</w:t>
      </w:r>
      <w:r w:rsidR="004C39EB">
        <w:rPr>
          <w:lang w:val="en-US" w:bidi="ar-SA"/>
        </w:rPr>
        <w:t xml:space="preserve"> </w:t>
      </w:r>
      <w:r w:rsidRPr="004415DE">
        <w:rPr>
          <w:lang w:val="en-US" w:bidi="ar-SA"/>
        </w:rPr>
        <w:t>balance sheet effects, currency mismatches, information asymmetries, and monetary policy trade-offs</w:t>
      </w:r>
      <w:r w:rsidR="004C39EB">
        <w:rPr>
          <w:lang w:val="en-US" w:bidi="ar-SA"/>
        </w:rPr>
        <w:t xml:space="preserve"> </w:t>
      </w:r>
      <w:r w:rsidRPr="004415DE">
        <w:rPr>
          <w:lang w:val="en-US" w:bidi="ar-SA"/>
        </w:rPr>
        <w:t>point to the same thing: the link between exchange rates and credit is complex and powerful. In countries like India, where financial systems are still developing, credit markets are fragmented, and macroprudential tools are still evolving, these links can become even more critical. The next sections will take these ideas further, grounding them in actual data and pointing out what’s still missing in India-focused research.</w:t>
      </w:r>
    </w:p>
    <w:p w14:paraId="38381623" w14:textId="77777777" w:rsidR="00274A38" w:rsidRDefault="00274A38" w:rsidP="001A0142">
      <w:pPr>
        <w:spacing w:line="360" w:lineRule="auto"/>
        <w:jc w:val="both"/>
        <w:rPr>
          <w:b/>
          <w:bCs/>
          <w:lang w:val="en-US" w:bidi="ar-SA"/>
        </w:rPr>
      </w:pPr>
    </w:p>
    <w:p w14:paraId="32A82C5C" w14:textId="77777777" w:rsidR="004415DE" w:rsidRDefault="004415DE" w:rsidP="001A0142">
      <w:pPr>
        <w:spacing w:line="360" w:lineRule="auto"/>
        <w:jc w:val="both"/>
        <w:rPr>
          <w:b/>
          <w:bCs/>
          <w:lang w:val="en-US" w:bidi="ar-SA"/>
        </w:rPr>
      </w:pPr>
    </w:p>
    <w:p w14:paraId="273B0485" w14:textId="77777777" w:rsidR="004415DE" w:rsidRDefault="004415DE" w:rsidP="001A0142">
      <w:pPr>
        <w:spacing w:line="360" w:lineRule="auto"/>
        <w:jc w:val="both"/>
        <w:rPr>
          <w:b/>
          <w:bCs/>
          <w:lang w:val="en-US" w:bidi="ar-SA"/>
        </w:rPr>
      </w:pPr>
    </w:p>
    <w:p w14:paraId="08B42A45" w14:textId="78BA8987" w:rsidR="001A0142" w:rsidRDefault="001A0142" w:rsidP="0036128C">
      <w:pPr>
        <w:pStyle w:val="Heading2"/>
        <w:spacing w:line="360" w:lineRule="auto"/>
        <w:rPr>
          <w:lang w:val="en-US" w:bidi="ar-SA"/>
        </w:rPr>
      </w:pPr>
      <w:bookmarkStart w:id="13" w:name="_Toc200973155"/>
      <w:r w:rsidRPr="001A0142">
        <w:rPr>
          <w:lang w:val="en-US" w:bidi="ar-SA"/>
        </w:rPr>
        <w:lastRenderedPageBreak/>
        <w:t>2.2 Macroprudential Policy and the Credit Cycle</w:t>
      </w:r>
      <w:bookmarkEnd w:id="13"/>
    </w:p>
    <w:p w14:paraId="34BAA157" w14:textId="76CC5CC5" w:rsidR="004B5321" w:rsidRPr="004B5321" w:rsidRDefault="004B5321" w:rsidP="0036128C">
      <w:pPr>
        <w:spacing w:line="360" w:lineRule="auto"/>
        <w:rPr>
          <w:sz w:val="2"/>
          <w:szCs w:val="2"/>
          <w:lang w:val="en-US" w:bidi="ar-SA"/>
        </w:rPr>
      </w:pPr>
      <w:r w:rsidRPr="004B5321">
        <w:rPr>
          <w:sz w:val="2"/>
          <w:szCs w:val="2"/>
          <w:lang w:val="en-US" w:bidi="ar-SA"/>
        </w:rPr>
        <w:t>.</w:t>
      </w:r>
    </w:p>
    <w:p w14:paraId="7D8A2BCE" w14:textId="77777777" w:rsidR="00274A38" w:rsidRPr="00274A38" w:rsidRDefault="00274A38" w:rsidP="0036128C">
      <w:pPr>
        <w:spacing w:line="360" w:lineRule="auto"/>
        <w:jc w:val="both"/>
        <w:rPr>
          <w:lang w:val="en-US" w:bidi="ar-SA"/>
        </w:rPr>
      </w:pPr>
      <w:r w:rsidRPr="00274A38">
        <w:rPr>
          <w:lang w:val="en-US" w:bidi="ar-SA"/>
        </w:rPr>
        <w:t>The interaction between private credit growth and financial vulnerability has prompted an evolution in the design and implementation of macroprudential frameworks across the world. These policies aim to dampen systemic risk and reduce the likelihood of crises triggered by credit excesses or asset bubbles. The concept of macroprudential regulation gained prominence after the Global Financial Crisis of 2008, with institutions like the Bank for International Settlements (BIS) and the International Monetary Fund (IMF) advocating for countercyclical measures that address the procyclical tendencies of modern financial systems.</w:t>
      </w:r>
    </w:p>
    <w:p w14:paraId="38BF8B3A" w14:textId="77777777" w:rsidR="00274A38" w:rsidRPr="00274A38" w:rsidRDefault="00274A38" w:rsidP="0036128C">
      <w:pPr>
        <w:spacing w:line="360" w:lineRule="auto"/>
        <w:jc w:val="both"/>
        <w:rPr>
          <w:lang w:val="en-US" w:bidi="ar-SA"/>
        </w:rPr>
      </w:pPr>
      <w:r w:rsidRPr="00274A38">
        <w:rPr>
          <w:lang w:val="en-US" w:bidi="ar-SA"/>
        </w:rPr>
        <w:t xml:space="preserve">At the core of macroprudential monitoring lies </w:t>
      </w:r>
      <w:r w:rsidRPr="00A253E4">
        <w:rPr>
          <w:lang w:val="en-US" w:bidi="ar-SA"/>
        </w:rPr>
        <w:t>the credit-to-GDP gap</w:t>
      </w:r>
      <w:r w:rsidRPr="00274A38">
        <w:rPr>
          <w:lang w:val="en-US" w:bidi="ar-SA"/>
        </w:rPr>
        <w:t xml:space="preserve">, first formalized by </w:t>
      </w:r>
      <w:proofErr w:type="spellStart"/>
      <w:r w:rsidRPr="00274A38">
        <w:rPr>
          <w:lang w:val="en-US" w:bidi="ar-SA"/>
        </w:rPr>
        <w:t>Borio</w:t>
      </w:r>
      <w:proofErr w:type="spellEnd"/>
      <w:r w:rsidRPr="00274A38">
        <w:rPr>
          <w:lang w:val="en-US" w:bidi="ar-SA"/>
        </w:rPr>
        <w:t xml:space="preserve"> and </w:t>
      </w:r>
      <w:proofErr w:type="spellStart"/>
      <w:r w:rsidRPr="00274A38">
        <w:rPr>
          <w:lang w:val="en-US" w:bidi="ar-SA"/>
        </w:rPr>
        <w:t>Drehmann</w:t>
      </w:r>
      <w:proofErr w:type="spellEnd"/>
      <w:r w:rsidRPr="00274A38">
        <w:rPr>
          <w:lang w:val="en-US" w:bidi="ar-SA"/>
        </w:rPr>
        <w:t xml:space="preserve"> (2009) as a reliable early-warning signal for banking crises. Their analysis of past crises revealed that sustained deviations of credit growth above its long-term trend often precede financial instability. This finding was later incorporated into the Basel III framework, which institutionalized the </w:t>
      </w:r>
      <w:r w:rsidRPr="00A253E4">
        <w:rPr>
          <w:lang w:val="en-US" w:bidi="ar-SA"/>
        </w:rPr>
        <w:t>Countercyclical Capital Buffer (</w:t>
      </w:r>
      <w:proofErr w:type="spellStart"/>
      <w:r w:rsidRPr="00A253E4">
        <w:rPr>
          <w:lang w:val="en-US" w:bidi="ar-SA"/>
        </w:rPr>
        <w:t>CCyB</w:t>
      </w:r>
      <w:proofErr w:type="spellEnd"/>
      <w:r w:rsidRPr="00A253E4">
        <w:rPr>
          <w:lang w:val="en-US" w:bidi="ar-SA"/>
        </w:rPr>
        <w:t>)</w:t>
      </w:r>
      <w:r w:rsidRPr="00274A38">
        <w:rPr>
          <w:lang w:val="en-US" w:bidi="ar-SA"/>
        </w:rPr>
        <w:t xml:space="preserve"> as a way to moderate credit booms. By mandating banks to hold additional capital when systemic risk is deemed to be increasing, the </w:t>
      </w:r>
      <w:proofErr w:type="spellStart"/>
      <w:r w:rsidRPr="00274A38">
        <w:rPr>
          <w:lang w:val="en-US" w:bidi="ar-SA"/>
        </w:rPr>
        <w:t>CCyB</w:t>
      </w:r>
      <w:proofErr w:type="spellEnd"/>
      <w:r w:rsidRPr="00274A38">
        <w:rPr>
          <w:lang w:val="en-US" w:bidi="ar-SA"/>
        </w:rPr>
        <w:t xml:space="preserve"> seeks to bolster resilience during downturns.</w:t>
      </w:r>
    </w:p>
    <w:p w14:paraId="274D009F" w14:textId="78C7295C" w:rsidR="00274A38" w:rsidRPr="00274A38" w:rsidRDefault="00274A38" w:rsidP="0036128C">
      <w:pPr>
        <w:spacing w:line="360" w:lineRule="auto"/>
        <w:jc w:val="both"/>
        <w:rPr>
          <w:lang w:val="en-US" w:bidi="ar-SA"/>
        </w:rPr>
      </w:pPr>
      <w:r w:rsidRPr="00274A38">
        <w:rPr>
          <w:lang w:val="en-US" w:bidi="ar-SA"/>
        </w:rPr>
        <w:t>However, the application of these frameworks in emerging markets such as India has been more conservative. While the </w:t>
      </w:r>
      <w:r w:rsidRPr="00A253E4">
        <w:rPr>
          <w:lang w:val="en-US" w:bidi="ar-SA"/>
        </w:rPr>
        <w:t>Reserve Bank of India (RBI)</w:t>
      </w:r>
      <w:r w:rsidRPr="00274A38">
        <w:rPr>
          <w:lang w:val="en-US" w:bidi="ar-SA"/>
        </w:rPr>
        <w:t xml:space="preserve"> tracks the credit-to-GDP gap in its Financial Stability Reports, it has never actively deployed the </w:t>
      </w:r>
      <w:proofErr w:type="spellStart"/>
      <w:r w:rsidRPr="00274A38">
        <w:rPr>
          <w:lang w:val="en-US" w:bidi="ar-SA"/>
        </w:rPr>
        <w:t>CCyB</w:t>
      </w:r>
      <w:proofErr w:type="spellEnd"/>
      <w:r w:rsidRPr="00274A38">
        <w:rPr>
          <w:lang w:val="en-US" w:bidi="ar-SA"/>
        </w:rPr>
        <w:t>. One possible reason is the concern that imposing additional capital requirements might stifle already constrained credit availability in key sectors such as MSMEs and agriculture. Nevertheless, the absence of such buffers leaves the system exposed to abrupt deleveraging episodes</w:t>
      </w:r>
      <w:r w:rsidR="004C39EB">
        <w:rPr>
          <w:lang w:val="en-US" w:bidi="ar-SA"/>
        </w:rPr>
        <w:t xml:space="preserve"> </w:t>
      </w:r>
      <w:r w:rsidRPr="00274A38">
        <w:rPr>
          <w:lang w:val="en-US" w:bidi="ar-SA"/>
        </w:rPr>
        <w:t>such as the 2018 NBFC crisis, where a lack of precautionary capital in shadow banks led to a liquidity freeze.</w:t>
      </w:r>
    </w:p>
    <w:p w14:paraId="501D915A" w14:textId="6079F765" w:rsidR="00274A38" w:rsidRPr="00274A38" w:rsidRDefault="00274A38" w:rsidP="0036128C">
      <w:pPr>
        <w:spacing w:line="360" w:lineRule="auto"/>
        <w:jc w:val="both"/>
        <w:rPr>
          <w:lang w:val="en-US" w:bidi="ar-SA"/>
        </w:rPr>
      </w:pPr>
      <w:r w:rsidRPr="00274A38">
        <w:rPr>
          <w:lang w:val="en-US" w:bidi="ar-SA"/>
        </w:rPr>
        <w:t>Beyond capital-based tools, </w:t>
      </w:r>
      <w:r w:rsidRPr="00A253E4">
        <w:rPr>
          <w:lang w:val="en-US" w:bidi="ar-SA"/>
        </w:rPr>
        <w:t>borrower-based measures</w:t>
      </w:r>
      <w:r w:rsidRPr="00274A38">
        <w:rPr>
          <w:lang w:val="en-US" w:bidi="ar-SA"/>
        </w:rPr>
        <w:t> have become integral to macroprudential policy. These include </w:t>
      </w:r>
      <w:r w:rsidRPr="00A253E4">
        <w:rPr>
          <w:lang w:val="en-US" w:bidi="ar-SA"/>
        </w:rPr>
        <w:t>Loan-to-Value (LTV) and Debt-to-Income (DTI)</w:t>
      </w:r>
      <w:r w:rsidRPr="00274A38">
        <w:rPr>
          <w:lang w:val="en-US" w:bidi="ar-SA"/>
        </w:rPr>
        <w:t> caps, which restrict excessive leverage among households and firms. In countries like South Korea and Canada, such measures have been credited with curbing housing bubbles and limiting financial fragility. In India, however, these tools remain fragmented. The National Housing Bank imposes LTV caps for mortgage lending, but DTI thresholds are inconsistently applied, and there is little coordination across different segments of the credit ecosystem</w:t>
      </w:r>
      <w:r w:rsidR="004C39EB">
        <w:rPr>
          <w:lang w:val="en-US" w:bidi="ar-SA"/>
        </w:rPr>
        <w:t xml:space="preserve"> </w:t>
      </w:r>
      <w:r w:rsidRPr="00274A38">
        <w:rPr>
          <w:lang w:val="en-US" w:bidi="ar-SA"/>
        </w:rPr>
        <w:t>commercial banks, NBFCs, and cooperative lenders often operate under differing risk management expectations.</w:t>
      </w:r>
    </w:p>
    <w:p w14:paraId="195E0F60" w14:textId="7B0779C0" w:rsidR="00274A38" w:rsidRPr="00274A38" w:rsidRDefault="00274A38" w:rsidP="0036128C">
      <w:pPr>
        <w:spacing w:line="360" w:lineRule="auto"/>
        <w:jc w:val="both"/>
        <w:rPr>
          <w:lang w:val="en-US" w:bidi="ar-SA"/>
        </w:rPr>
      </w:pPr>
      <w:r w:rsidRPr="00274A38">
        <w:rPr>
          <w:lang w:val="en-US" w:bidi="ar-SA"/>
        </w:rPr>
        <w:t>Furthermore, </w:t>
      </w:r>
      <w:r w:rsidRPr="00A253E4">
        <w:rPr>
          <w:lang w:val="en-US" w:bidi="ar-SA"/>
        </w:rPr>
        <w:t>sectoral risk weights</w:t>
      </w:r>
      <w:r w:rsidR="004C39EB">
        <w:rPr>
          <w:lang w:val="en-US" w:bidi="ar-SA"/>
        </w:rPr>
        <w:t xml:space="preserve"> </w:t>
      </w:r>
      <w:r w:rsidRPr="00274A38">
        <w:rPr>
          <w:lang w:val="en-US" w:bidi="ar-SA"/>
        </w:rPr>
        <w:t>used to impose higher capital requirements on risky loan categories such as commercial real estate</w:t>
      </w:r>
      <w:r w:rsidR="004C39EB">
        <w:rPr>
          <w:lang w:val="en-US" w:bidi="ar-SA"/>
        </w:rPr>
        <w:t xml:space="preserve"> </w:t>
      </w:r>
      <w:r w:rsidRPr="00274A38">
        <w:rPr>
          <w:lang w:val="en-US" w:bidi="ar-SA"/>
        </w:rPr>
        <w:t xml:space="preserve">have been partially implemented in India since 2010. </w:t>
      </w:r>
      <w:r w:rsidRPr="00274A38">
        <w:rPr>
          <w:lang w:val="en-US" w:bidi="ar-SA"/>
        </w:rPr>
        <w:lastRenderedPageBreak/>
        <w:t>Yet, the impact has been diluted by the financial innovation that allows risk to migrate outside the traditional banking system. For example, NBFCs and mutual funds have increasingly filled the credit gap left by cautious banks, often extending loans without the same oversight. This regulatory arbitrage undermines the intent of macroprudential tools and raises questions about the perimeter of regulation.</w:t>
      </w:r>
    </w:p>
    <w:p w14:paraId="48809C02" w14:textId="77777777" w:rsidR="00274A38" w:rsidRPr="00274A38" w:rsidRDefault="00274A38" w:rsidP="0036128C">
      <w:pPr>
        <w:spacing w:line="360" w:lineRule="auto"/>
        <w:jc w:val="both"/>
        <w:rPr>
          <w:lang w:val="en-US" w:bidi="ar-SA"/>
        </w:rPr>
      </w:pPr>
      <w:r w:rsidRPr="00274A38">
        <w:rPr>
          <w:lang w:val="en-US" w:bidi="ar-SA"/>
        </w:rPr>
        <w:t>Dynamic provisioning norms, which require banks to accumulate reserves during upswings, have also seen limited success in India. Although mandated by the RBI, enforcement has been inconsistent, and provisioning often lags behind risk accumulation. This contrasts with countries like Spain and Colombia, which introduced forward-looking provisioning models to anticipate rather than react to credit stress.</w:t>
      </w:r>
    </w:p>
    <w:p w14:paraId="08EDD32B" w14:textId="10FA1260" w:rsidR="00274A38" w:rsidRPr="00274A38" w:rsidRDefault="00274A38" w:rsidP="0036128C">
      <w:pPr>
        <w:spacing w:line="360" w:lineRule="auto"/>
        <w:jc w:val="both"/>
        <w:rPr>
          <w:lang w:val="en-US" w:bidi="ar-SA"/>
        </w:rPr>
      </w:pPr>
      <w:r w:rsidRPr="00274A38">
        <w:rPr>
          <w:lang w:val="en-US" w:bidi="ar-SA"/>
        </w:rPr>
        <w:t>The Indian experience must also be interpreted through the lens of </w:t>
      </w:r>
      <w:r w:rsidRPr="00A253E4">
        <w:rPr>
          <w:lang w:val="en-US" w:bidi="ar-SA"/>
        </w:rPr>
        <w:t>financial inclusion</w:t>
      </w:r>
      <w:r w:rsidRPr="00274A38">
        <w:rPr>
          <w:lang w:val="en-US" w:bidi="ar-SA"/>
        </w:rPr>
        <w:t>. Unlike advanced economies, India grapples with a dual objective</w:t>
      </w:r>
      <w:r w:rsidR="004C39EB">
        <w:rPr>
          <w:lang w:val="en-US" w:bidi="ar-SA"/>
        </w:rPr>
        <w:t xml:space="preserve"> </w:t>
      </w:r>
      <w:r w:rsidRPr="00274A38">
        <w:rPr>
          <w:lang w:val="en-US" w:bidi="ar-SA"/>
        </w:rPr>
        <w:t>promoting access to credit while maintaining stability. The political economy of credit expansion, particularly in priority sectors like housing, agriculture, and microenterprise, often overrides prudential concerns. This tension makes the deployment of macroprudential tools more complex and politically sensitive.</w:t>
      </w:r>
    </w:p>
    <w:p w14:paraId="26CAD551" w14:textId="77777777" w:rsidR="00274A38" w:rsidRPr="00274A38" w:rsidRDefault="00274A38" w:rsidP="0036128C">
      <w:pPr>
        <w:spacing w:line="360" w:lineRule="auto"/>
        <w:jc w:val="both"/>
        <w:rPr>
          <w:lang w:val="en-US" w:bidi="ar-SA"/>
        </w:rPr>
      </w:pPr>
      <w:r w:rsidRPr="00274A38">
        <w:rPr>
          <w:lang w:val="en-US" w:bidi="ar-SA"/>
        </w:rPr>
        <w:t>Nonetheless, case studies from India's recent past demonstrate the urgent need for a robust and proactive framework. The </w:t>
      </w:r>
      <w:r w:rsidRPr="00A253E4">
        <w:rPr>
          <w:lang w:val="en-US" w:bidi="ar-SA"/>
        </w:rPr>
        <w:t>demonetization shock in 2016</w:t>
      </w:r>
      <w:r w:rsidRPr="00274A38">
        <w:rPr>
          <w:lang w:val="en-US" w:bidi="ar-SA"/>
        </w:rPr>
        <w:t>, followed by the </w:t>
      </w:r>
      <w:r w:rsidRPr="00A253E4">
        <w:rPr>
          <w:lang w:val="en-US" w:bidi="ar-SA"/>
        </w:rPr>
        <w:t>IL&amp;FS default in 2018, and the COVID-19 pandemic in 2020,</w:t>
      </w:r>
      <w:r w:rsidRPr="00274A38">
        <w:rPr>
          <w:lang w:val="en-US" w:bidi="ar-SA"/>
        </w:rPr>
        <w:t xml:space="preserve"> all revealed the fragility of India’s credit system. In each case, abrupt policy or market shifts triggered liquidity shortages, with spillovers across NBFCs, banks, and capital markets. A calibrated macroprudential strategy, involving both countercyclical buffers and borrower-based caps, could have mitigated the impact of these shocks.</w:t>
      </w:r>
    </w:p>
    <w:p w14:paraId="4E663CD9" w14:textId="6148247D" w:rsidR="00274A38" w:rsidRPr="00274A38" w:rsidRDefault="00274A38" w:rsidP="0036128C">
      <w:pPr>
        <w:spacing w:line="360" w:lineRule="auto"/>
        <w:jc w:val="both"/>
        <w:rPr>
          <w:lang w:val="en-US" w:bidi="ar-SA"/>
        </w:rPr>
      </w:pPr>
      <w:r w:rsidRPr="00274A38">
        <w:rPr>
          <w:lang w:val="en-US" w:bidi="ar-SA"/>
        </w:rPr>
        <w:t>In this thesis, these lessons are operationalized through policy simulations that estimate how macroprudential interventions</w:t>
      </w:r>
      <w:r w:rsidR="004C39EB">
        <w:rPr>
          <w:lang w:val="en-US" w:bidi="ar-SA"/>
        </w:rPr>
        <w:t xml:space="preserve"> </w:t>
      </w:r>
      <w:r w:rsidRPr="00274A38">
        <w:rPr>
          <w:lang w:val="en-US" w:bidi="ar-SA"/>
        </w:rPr>
        <w:t>had they been applied</w:t>
      </w:r>
      <w:r w:rsidR="004C39EB">
        <w:rPr>
          <w:lang w:val="en-US" w:bidi="ar-SA"/>
        </w:rPr>
        <w:t xml:space="preserve"> </w:t>
      </w:r>
      <w:r w:rsidRPr="00274A38">
        <w:rPr>
          <w:lang w:val="en-US" w:bidi="ar-SA"/>
        </w:rPr>
        <w:t xml:space="preserve">might have altered the trajectory of credit and exchange rate volatility. For instance, a simulated </w:t>
      </w:r>
      <w:proofErr w:type="spellStart"/>
      <w:r w:rsidRPr="00274A38">
        <w:rPr>
          <w:lang w:val="en-US" w:bidi="ar-SA"/>
        </w:rPr>
        <w:t>CCyB</w:t>
      </w:r>
      <w:proofErr w:type="spellEnd"/>
      <w:r w:rsidRPr="00274A38">
        <w:rPr>
          <w:lang w:val="en-US" w:bidi="ar-SA"/>
        </w:rPr>
        <w:t xml:space="preserve"> deployment in 2016–17 could have slowed NBFC loan growth before the IL&amp;FS crisis. Similarly, pre-emptive LTV restrictions may have capped housing sector leverage, limiting the systemic fallout.</w:t>
      </w:r>
    </w:p>
    <w:p w14:paraId="4339220E" w14:textId="3BB7D9D5" w:rsidR="00274A38" w:rsidRPr="00274A38" w:rsidRDefault="00274A38" w:rsidP="00BC1A10">
      <w:pPr>
        <w:spacing w:line="360" w:lineRule="auto"/>
        <w:jc w:val="both"/>
        <w:rPr>
          <w:lang w:val="en-US" w:bidi="ar-SA"/>
        </w:rPr>
      </w:pPr>
      <w:r w:rsidRPr="00274A38">
        <w:rPr>
          <w:lang w:val="en-US" w:bidi="ar-SA"/>
        </w:rPr>
        <w:t xml:space="preserve">Overall, the section sets the stage for testing these dynamics empirically in the Indian context, </w:t>
      </w:r>
      <w:r w:rsidR="00BC1A10" w:rsidRPr="00BC1A10">
        <w:rPr>
          <w:lang w:bidi="ar-SA"/>
        </w:rPr>
        <w:t>using rolling-window estimation and counterfactual forecasting</w:t>
      </w:r>
      <w:r w:rsidRPr="00274A38">
        <w:rPr>
          <w:lang w:val="en-US" w:bidi="ar-SA"/>
        </w:rPr>
        <w:t>. The broader aim is not just to evaluate existing frameworks, but to propose feasible policy responses that are sensitive to India's institutional and economic realities.</w:t>
      </w:r>
    </w:p>
    <w:p w14:paraId="1853C427" w14:textId="77777777" w:rsidR="00274A38" w:rsidRPr="001A0142" w:rsidRDefault="00274A38" w:rsidP="0036128C">
      <w:pPr>
        <w:spacing w:line="360" w:lineRule="auto"/>
        <w:jc w:val="both"/>
        <w:rPr>
          <w:lang w:val="en-US" w:bidi="ar-SA"/>
        </w:rPr>
      </w:pPr>
    </w:p>
    <w:p w14:paraId="5B3EADA9" w14:textId="77777777" w:rsidR="001A0142" w:rsidRPr="001A0142" w:rsidRDefault="001A0142" w:rsidP="0036128C">
      <w:pPr>
        <w:pStyle w:val="Heading2"/>
        <w:spacing w:line="360" w:lineRule="auto"/>
        <w:rPr>
          <w:lang w:val="en-US" w:bidi="ar-SA"/>
        </w:rPr>
      </w:pPr>
      <w:bookmarkStart w:id="14" w:name="_Toc200973156"/>
      <w:r w:rsidRPr="001A0142">
        <w:rPr>
          <w:lang w:val="en-US" w:bidi="ar-SA"/>
        </w:rPr>
        <w:t>2.3 Empirical Evidence: Global Patterns and Regional Lessons</w:t>
      </w:r>
      <w:bookmarkEnd w:id="14"/>
    </w:p>
    <w:p w14:paraId="0D5D2BDC" w14:textId="77777777" w:rsidR="00274A38" w:rsidRPr="00274A38" w:rsidRDefault="00274A38" w:rsidP="0036128C">
      <w:pPr>
        <w:spacing w:line="360" w:lineRule="auto"/>
        <w:jc w:val="both"/>
        <w:rPr>
          <w:lang w:val="en-US" w:bidi="ar-SA"/>
        </w:rPr>
      </w:pPr>
      <w:r w:rsidRPr="00274A38">
        <w:rPr>
          <w:lang w:val="en-US" w:bidi="ar-SA"/>
        </w:rPr>
        <w:t>While theoretical insights offer compelling mechanisms linking credit cycles and exchange rate movements, it is the empirical literature that validates their relevance across economies. A wide body of cross-country studies, case-based analyses, and panel VAR models has shown that credit expansions and currency movements are closely intertwined, especially in emerging markets prone to external shocks and financial frictions.</w:t>
      </w:r>
    </w:p>
    <w:p w14:paraId="4A685B2E" w14:textId="77777777" w:rsidR="00274A38" w:rsidRPr="00274A38" w:rsidRDefault="00274A38" w:rsidP="0036128C">
      <w:pPr>
        <w:spacing w:line="360" w:lineRule="auto"/>
        <w:jc w:val="both"/>
        <w:rPr>
          <w:lang w:val="en-US" w:bidi="ar-SA"/>
        </w:rPr>
      </w:pPr>
      <w:r w:rsidRPr="00274A38">
        <w:rPr>
          <w:lang w:val="en-US" w:bidi="ar-SA"/>
        </w:rPr>
        <w:t>A foundational contribution in this space comes from Nier et al. (2020), who examined 62 economies using panel Vector Autoregressive (VAR) methods. Their findings established that a one-standard-deviation appreciation in the real effective exchange rate (REER) is associated with a 0.7–1.2 percentage point increase in the credit-to-GDP ratio in the subsequent quarters. This relationship was found to be stronger in countries with less stringent macroprudential regulation, where balance sheet effects play out more aggressively. These results underscore how exchange rate dynamics can serve as both a catalyst and a consequence of domestic credit fluctuations.</w:t>
      </w:r>
    </w:p>
    <w:p w14:paraId="207EDFC3" w14:textId="77777777" w:rsidR="00274A38" w:rsidRPr="00274A38" w:rsidRDefault="00274A38" w:rsidP="0036128C">
      <w:pPr>
        <w:spacing w:line="360" w:lineRule="auto"/>
        <w:jc w:val="both"/>
        <w:rPr>
          <w:lang w:val="en-US" w:bidi="ar-SA"/>
        </w:rPr>
      </w:pPr>
      <w:r w:rsidRPr="00274A38">
        <w:rPr>
          <w:lang w:val="en-US" w:bidi="ar-SA"/>
        </w:rPr>
        <w:t xml:space="preserve">Further refining this picture, </w:t>
      </w:r>
      <w:proofErr w:type="spellStart"/>
      <w:r w:rsidRPr="00274A38">
        <w:rPr>
          <w:lang w:val="en-US" w:bidi="ar-SA"/>
        </w:rPr>
        <w:t>Cerutti</w:t>
      </w:r>
      <w:proofErr w:type="spellEnd"/>
      <w:r w:rsidRPr="00274A38">
        <w:rPr>
          <w:lang w:val="en-US" w:bidi="ar-SA"/>
        </w:rPr>
        <w:t xml:space="preserve">, </w:t>
      </w:r>
      <w:proofErr w:type="spellStart"/>
      <w:r w:rsidRPr="00274A38">
        <w:rPr>
          <w:lang w:val="en-US" w:bidi="ar-SA"/>
        </w:rPr>
        <w:t>Claessens</w:t>
      </w:r>
      <w:proofErr w:type="spellEnd"/>
      <w:r w:rsidRPr="00274A38">
        <w:rPr>
          <w:lang w:val="en-US" w:bidi="ar-SA"/>
        </w:rPr>
        <w:t xml:space="preserve">, and </w:t>
      </w:r>
      <w:proofErr w:type="spellStart"/>
      <w:r w:rsidRPr="00274A38">
        <w:rPr>
          <w:lang w:val="en-US" w:bidi="ar-SA"/>
        </w:rPr>
        <w:t>Laeven</w:t>
      </w:r>
      <w:proofErr w:type="spellEnd"/>
      <w:r w:rsidRPr="00274A38">
        <w:rPr>
          <w:lang w:val="en-US" w:bidi="ar-SA"/>
        </w:rPr>
        <w:t xml:space="preserve"> (2017) employed quantile regressions to show that credit expansion reacts non-linearly to exchange rate changes. Their research revealed that during credit booms, the marginal sensitivity of lending to currency appreciation is higher, suggesting that already-leveraged economies are more vulnerable to FX-induced financial instability. This non-linearity is highly relevant for emerging markets like India, where boom-bust cycles are not uncommon.</w:t>
      </w:r>
    </w:p>
    <w:p w14:paraId="3E5AEC78" w14:textId="0B5578F3" w:rsidR="00274A38" w:rsidRPr="00274A38" w:rsidRDefault="00274A38" w:rsidP="0036128C">
      <w:pPr>
        <w:spacing w:line="360" w:lineRule="auto"/>
        <w:jc w:val="both"/>
        <w:rPr>
          <w:lang w:val="en-US" w:bidi="ar-SA"/>
        </w:rPr>
      </w:pPr>
      <w:r w:rsidRPr="00274A38">
        <w:rPr>
          <w:lang w:val="en-US" w:bidi="ar-SA"/>
        </w:rPr>
        <w:t>On the other hand, studies that have used regime-switching models</w:t>
      </w:r>
      <w:r w:rsidR="004C39EB">
        <w:rPr>
          <w:lang w:val="en-US" w:bidi="ar-SA"/>
        </w:rPr>
        <w:t xml:space="preserve"> </w:t>
      </w:r>
      <w:r w:rsidRPr="00274A38">
        <w:rPr>
          <w:lang w:val="en-US" w:bidi="ar-SA"/>
        </w:rPr>
        <w:t>such as those by Kaminsky and Reinhart (1999)</w:t>
      </w:r>
      <w:r w:rsidR="004C39EB">
        <w:rPr>
          <w:lang w:val="en-US" w:bidi="ar-SA"/>
        </w:rPr>
        <w:t xml:space="preserve"> </w:t>
      </w:r>
      <w:r w:rsidRPr="00274A38">
        <w:rPr>
          <w:lang w:val="en-US" w:bidi="ar-SA"/>
        </w:rPr>
        <w:t>have found that credit surges often precede crisis regimes, making them reliable early indicators. These models are particularly adept at identifying “twin crises,” where a sudden stop in capital flows triggers both a banking and a currency crisis. Notably, the East Asian financial crisis (1997–98) serves as a textbook case. Countries like Thailand, Indonesia, and South Korea experienced prolonged credit booms financed by short-term external borrowing. Once speculative pressures on their currencies mounted, capital flight ensued, depreciations accelerated, and banking systems collapsed almost in unison.</w:t>
      </w:r>
    </w:p>
    <w:p w14:paraId="412E8D03" w14:textId="77777777" w:rsidR="00274A38" w:rsidRPr="00274A38" w:rsidRDefault="00274A38" w:rsidP="0036128C">
      <w:pPr>
        <w:spacing w:line="360" w:lineRule="auto"/>
        <w:jc w:val="both"/>
        <w:rPr>
          <w:lang w:val="en-US" w:bidi="ar-SA"/>
        </w:rPr>
      </w:pPr>
      <w:r w:rsidRPr="00274A38">
        <w:rPr>
          <w:lang w:val="en-US" w:bidi="ar-SA"/>
        </w:rPr>
        <w:t>Closer to the Indian context, the </w:t>
      </w:r>
      <w:r w:rsidRPr="00A253E4">
        <w:rPr>
          <w:lang w:val="en-US" w:bidi="ar-SA"/>
        </w:rPr>
        <w:t>2013 taper tantrum</w:t>
      </w:r>
      <w:r w:rsidRPr="00274A38">
        <w:rPr>
          <w:lang w:val="en-US" w:bidi="ar-SA"/>
        </w:rPr>
        <w:t xml:space="preserve"> provides empirical confirmation of this dynamic. Anticipation of monetary tightening by the U.S. Federal Reserve caused capital outflows from India, leading to sharp rupee depreciation. This, in turn, triggered credit </w:t>
      </w:r>
      <w:r w:rsidRPr="00274A38">
        <w:rPr>
          <w:lang w:val="en-US" w:bidi="ar-SA"/>
        </w:rPr>
        <w:lastRenderedPageBreak/>
        <w:t>tightening as NBFCs and corporates struggled with increased external borrowing costs. While India avoided a full-blown crisis, the episode revealed the country’s susceptibility to externally triggered FX-credit spillovers.</w:t>
      </w:r>
    </w:p>
    <w:p w14:paraId="31E488A1" w14:textId="4F762B99" w:rsidR="00274A38" w:rsidRPr="00274A38" w:rsidRDefault="00274A38" w:rsidP="0036128C">
      <w:pPr>
        <w:spacing w:line="360" w:lineRule="auto"/>
        <w:jc w:val="both"/>
        <w:rPr>
          <w:lang w:val="en-US" w:bidi="ar-SA"/>
        </w:rPr>
      </w:pPr>
      <w:r w:rsidRPr="00274A38">
        <w:rPr>
          <w:lang w:val="en-US" w:bidi="ar-SA"/>
        </w:rPr>
        <w:t>Another pertinent case is </w:t>
      </w:r>
      <w:r w:rsidRPr="00A253E4">
        <w:rPr>
          <w:lang w:val="en-US" w:bidi="ar-SA"/>
        </w:rPr>
        <w:t>Turkey’s 2018 currency crisis</w:t>
      </w:r>
      <w:r w:rsidRPr="00274A38">
        <w:rPr>
          <w:lang w:val="en-US" w:bidi="ar-SA"/>
        </w:rPr>
        <w:t>, where private sector external debt</w:t>
      </w:r>
      <w:r w:rsidR="004C39EB">
        <w:rPr>
          <w:lang w:val="en-US" w:bidi="ar-SA"/>
        </w:rPr>
        <w:t xml:space="preserve"> </w:t>
      </w:r>
      <w:r w:rsidRPr="00274A38">
        <w:rPr>
          <w:lang w:val="en-US" w:bidi="ar-SA"/>
        </w:rPr>
        <w:t>much of it in U.S. dollars</w:t>
      </w:r>
      <w:r w:rsidR="004C39EB">
        <w:rPr>
          <w:lang w:val="en-US" w:bidi="ar-SA"/>
        </w:rPr>
        <w:t xml:space="preserve"> </w:t>
      </w:r>
      <w:r w:rsidRPr="00274A38">
        <w:rPr>
          <w:lang w:val="en-US" w:bidi="ar-SA"/>
        </w:rPr>
        <w:t>left corporations and banks highly exposed. The Turkish lira’s collapse led to widespread defaults and necessitated emergency liquidity support. Although Turkey's policy environment and political risks differ from India’s, the underlying mechanics</w:t>
      </w:r>
      <w:r w:rsidR="004C39EB">
        <w:rPr>
          <w:lang w:val="en-US" w:bidi="ar-SA"/>
        </w:rPr>
        <w:t xml:space="preserve"> </w:t>
      </w:r>
      <w:r w:rsidRPr="00274A38">
        <w:rPr>
          <w:lang w:val="en-US" w:bidi="ar-SA"/>
        </w:rPr>
        <w:t>credit booms fueled by optimistic expectations during periods of currency stability</w:t>
      </w:r>
      <w:r w:rsidR="004C39EB">
        <w:rPr>
          <w:lang w:val="en-US" w:bidi="ar-SA"/>
        </w:rPr>
        <w:t xml:space="preserve"> </w:t>
      </w:r>
      <w:r w:rsidRPr="00274A38">
        <w:rPr>
          <w:lang w:val="en-US" w:bidi="ar-SA"/>
        </w:rPr>
        <w:t>resonate strongly.</w:t>
      </w:r>
    </w:p>
    <w:p w14:paraId="275A487B" w14:textId="77777777" w:rsidR="00274A38" w:rsidRPr="00274A38" w:rsidRDefault="00274A38" w:rsidP="0036128C">
      <w:pPr>
        <w:spacing w:line="360" w:lineRule="auto"/>
        <w:jc w:val="both"/>
        <w:rPr>
          <w:lang w:val="en-US" w:bidi="ar-SA"/>
        </w:rPr>
      </w:pPr>
      <w:r w:rsidRPr="00274A38">
        <w:rPr>
          <w:lang w:val="en-US" w:bidi="ar-SA"/>
        </w:rPr>
        <w:t>In Latin America, </w:t>
      </w:r>
      <w:r w:rsidRPr="00A253E4">
        <w:rPr>
          <w:lang w:val="en-US" w:bidi="ar-SA"/>
        </w:rPr>
        <w:t>Argentina’s 2001 crisis</w:t>
      </w:r>
      <w:r w:rsidRPr="00274A38">
        <w:rPr>
          <w:lang w:val="en-US" w:bidi="ar-SA"/>
        </w:rPr>
        <w:t xml:space="preserve"> and subsequent episodes illustrate the fragility induced by financial dollarization and exchange rate pegs. Here, empirical studies by Levy </w:t>
      </w:r>
      <w:proofErr w:type="spellStart"/>
      <w:r w:rsidRPr="00274A38">
        <w:rPr>
          <w:lang w:val="en-US" w:bidi="ar-SA"/>
        </w:rPr>
        <w:t>Yeyati</w:t>
      </w:r>
      <w:proofErr w:type="spellEnd"/>
      <w:r w:rsidRPr="00274A38">
        <w:rPr>
          <w:lang w:val="en-US" w:bidi="ar-SA"/>
        </w:rPr>
        <w:t xml:space="preserve"> and </w:t>
      </w:r>
      <w:proofErr w:type="spellStart"/>
      <w:r w:rsidRPr="00274A38">
        <w:rPr>
          <w:lang w:val="en-US" w:bidi="ar-SA"/>
        </w:rPr>
        <w:t>Sturzenegger</w:t>
      </w:r>
      <w:proofErr w:type="spellEnd"/>
      <w:r w:rsidRPr="00274A38">
        <w:rPr>
          <w:lang w:val="en-US" w:bidi="ar-SA"/>
        </w:rPr>
        <w:t xml:space="preserve"> (2002) have shown that credit growth in hard currency often masks underlying vulnerabilities, which emerge when currency regimes collapse. Argentina’s case is particularly instructive for understanding why India’s cautious stance on full capital account convertibility has historically served as a buffer against similar collapses.</w:t>
      </w:r>
    </w:p>
    <w:p w14:paraId="4D9B4ECE" w14:textId="77777777" w:rsidR="00274A38" w:rsidRPr="00274A38" w:rsidRDefault="00274A38" w:rsidP="0036128C">
      <w:pPr>
        <w:spacing w:line="360" w:lineRule="auto"/>
        <w:jc w:val="both"/>
        <w:rPr>
          <w:lang w:val="en-US" w:bidi="ar-SA"/>
        </w:rPr>
      </w:pPr>
      <w:r w:rsidRPr="00274A38">
        <w:rPr>
          <w:lang w:val="en-US" w:bidi="ar-SA"/>
        </w:rPr>
        <w:t>While cross-country analyses offer robust evidence, studies focused on India remain limited in scope or methodology. For instance, Patnaik and Shah (2010) investigated the relationship between capital flows, exchange rate regimes, and financial sector vulnerabilities in India, concluding that FX market stability is a prerequisite for credit expansion. However, their model lacked temporal sensitivity, overlooking how these dynamics evolve across different regimes or crises.</w:t>
      </w:r>
    </w:p>
    <w:p w14:paraId="5A2B108C" w14:textId="1C08E324" w:rsidR="00274A38" w:rsidRPr="00274A38" w:rsidRDefault="00274A38" w:rsidP="0036128C">
      <w:pPr>
        <w:spacing w:line="360" w:lineRule="auto"/>
        <w:jc w:val="both"/>
        <w:rPr>
          <w:lang w:val="en-US" w:bidi="ar-SA"/>
        </w:rPr>
      </w:pPr>
      <w:r w:rsidRPr="00274A38">
        <w:rPr>
          <w:lang w:val="en-US" w:bidi="ar-SA"/>
        </w:rPr>
        <w:t xml:space="preserve">Similarly, </w:t>
      </w:r>
      <w:proofErr w:type="spellStart"/>
      <w:r w:rsidRPr="00274A38">
        <w:rPr>
          <w:lang w:val="en-US" w:bidi="ar-SA"/>
        </w:rPr>
        <w:t>Prabheesh</w:t>
      </w:r>
      <w:proofErr w:type="spellEnd"/>
      <w:r w:rsidRPr="00274A38">
        <w:rPr>
          <w:lang w:val="en-US" w:bidi="ar-SA"/>
        </w:rPr>
        <w:t xml:space="preserve"> et al. (2021) examined exchange rate pass-through effects using DCC-GARCH models but restricted their analysis to quarterly data and did not incorporate lending by NBFCs</w:t>
      </w:r>
      <w:r w:rsidR="004C39EB">
        <w:rPr>
          <w:lang w:val="en-US" w:bidi="ar-SA"/>
        </w:rPr>
        <w:t xml:space="preserve"> </w:t>
      </w:r>
      <w:r w:rsidRPr="00274A38">
        <w:rPr>
          <w:lang w:val="en-US" w:bidi="ar-SA"/>
        </w:rPr>
        <w:t>thus missing a key component of India’s credit story. Another shortcoming in much of the Indian literature is the reliance on linear models, which cannot adequately capture turning points or regime shifts. This is where methodologies like rolling-window VAR</w:t>
      </w:r>
      <w:r w:rsidR="00BC1A10">
        <w:rPr>
          <w:lang w:val="en-US" w:bidi="ar-SA"/>
        </w:rPr>
        <w:t xml:space="preserve"> </w:t>
      </w:r>
      <w:r w:rsidRPr="00274A38">
        <w:rPr>
          <w:lang w:val="en-US" w:bidi="ar-SA"/>
        </w:rPr>
        <w:t>and threshold VARs (TVARs) become critical.</w:t>
      </w:r>
    </w:p>
    <w:p w14:paraId="4126B149" w14:textId="12523E90" w:rsidR="00274A38" w:rsidRPr="00274A38" w:rsidRDefault="00274A38" w:rsidP="0036128C">
      <w:pPr>
        <w:spacing w:line="360" w:lineRule="auto"/>
        <w:jc w:val="both"/>
        <w:rPr>
          <w:lang w:val="en-US" w:bidi="ar-SA"/>
        </w:rPr>
      </w:pPr>
      <w:r w:rsidRPr="00274A38">
        <w:rPr>
          <w:lang w:val="en-US" w:bidi="ar-SA"/>
        </w:rPr>
        <w:t xml:space="preserve">This </w:t>
      </w:r>
      <w:r w:rsidR="004B5321">
        <w:rPr>
          <w:lang w:val="en-US" w:bidi="ar-SA"/>
        </w:rPr>
        <w:t>work</w:t>
      </w:r>
      <w:r w:rsidRPr="00274A38">
        <w:rPr>
          <w:lang w:val="en-US" w:bidi="ar-SA"/>
        </w:rPr>
        <w:t xml:space="preserve"> contributes to the literature by integrating these advanced empirical tools with high-frequency Indian data. Unlike previous studies that rely on quarterly or annual aggregates, the analysis here is based on fortnightly series for private credit and exchange rates. This granularity enables more precise identification of lead-lag relationships and structural breaks. </w:t>
      </w:r>
      <w:r w:rsidRPr="00274A38">
        <w:rPr>
          <w:lang w:val="en-US" w:bidi="ar-SA"/>
        </w:rPr>
        <w:lastRenderedPageBreak/>
        <w:t>By estimating dynamic coefficients across sub-periods, the thesis not only identifies if but also</w:t>
      </w:r>
      <w:r w:rsidRPr="003E1209">
        <w:rPr>
          <w:lang w:val="en-US" w:bidi="ar-SA"/>
        </w:rPr>
        <w:t> </w:t>
      </w:r>
      <w:r w:rsidR="003E1209" w:rsidRPr="003E1209">
        <w:rPr>
          <w:lang w:val="en-US" w:bidi="ar-SA"/>
        </w:rPr>
        <w:t>when</w:t>
      </w:r>
      <w:r w:rsidR="003E1209" w:rsidRPr="00274A38">
        <w:rPr>
          <w:lang w:val="en-US" w:bidi="ar-SA"/>
        </w:rPr>
        <w:t xml:space="preserve"> credit</w:t>
      </w:r>
      <w:r w:rsidRPr="00274A38">
        <w:rPr>
          <w:lang w:val="en-US" w:bidi="ar-SA"/>
        </w:rPr>
        <w:t xml:space="preserve"> shocks begin to influence currency volatility</w:t>
      </w:r>
      <w:r w:rsidR="004C39EB">
        <w:rPr>
          <w:lang w:val="en-US" w:bidi="ar-SA"/>
        </w:rPr>
        <w:t xml:space="preserve"> </w:t>
      </w:r>
      <w:r w:rsidRPr="00274A38">
        <w:rPr>
          <w:lang w:val="en-US" w:bidi="ar-SA"/>
        </w:rPr>
        <w:t>and vice versa.</w:t>
      </w:r>
    </w:p>
    <w:p w14:paraId="046C22FA" w14:textId="77777777" w:rsidR="00274A38" w:rsidRPr="00274A38" w:rsidRDefault="00274A38" w:rsidP="0036128C">
      <w:pPr>
        <w:spacing w:line="360" w:lineRule="auto"/>
        <w:jc w:val="both"/>
        <w:rPr>
          <w:lang w:val="en-US" w:bidi="ar-SA"/>
        </w:rPr>
      </w:pPr>
      <w:r w:rsidRPr="00274A38">
        <w:rPr>
          <w:lang w:val="en-US" w:bidi="ar-SA"/>
        </w:rPr>
        <w:t>Moreover, this study introduces a </w:t>
      </w:r>
      <w:r w:rsidRPr="00A253E4">
        <w:rPr>
          <w:lang w:val="en-US" w:bidi="ar-SA"/>
        </w:rPr>
        <w:t>composite exchange rate deviation index (CERDI)</w:t>
      </w:r>
      <w:r w:rsidRPr="00274A38">
        <w:rPr>
          <w:lang w:val="en-US" w:bidi="ar-SA"/>
        </w:rPr>
        <w:t> that combines INR/USD, INR/EUR, and RBI’s NEER series, weighted by trade exposure. This improves upon prior measures that use only one bilateral rate, providing a more realistic depiction of India’s exchange rate position relative to its trade partners. Paired with a harmonized credit index combining bank lending, NBFC flows, and estimates of informal credit (from CMIE and survey data), the thesis ensures that the empirical foundation is not only methodologically robust but also tailored to the Indian financial ecosystem.</w:t>
      </w:r>
    </w:p>
    <w:p w14:paraId="4386820C" w14:textId="367FCDB0" w:rsidR="00274A38" w:rsidRPr="00274A38" w:rsidRDefault="00274A38" w:rsidP="0036128C">
      <w:pPr>
        <w:spacing w:line="360" w:lineRule="auto"/>
        <w:jc w:val="both"/>
        <w:rPr>
          <w:lang w:val="en-US" w:bidi="ar-SA"/>
        </w:rPr>
      </w:pPr>
      <w:r w:rsidRPr="00274A38">
        <w:rPr>
          <w:lang w:val="en-US" w:bidi="ar-SA"/>
        </w:rPr>
        <w:t>In summary, the empirical literature overwhelmingly supports the thesis proposition that inflated private lending and unstable exchange rates are not independent phenomena</w:t>
      </w:r>
      <w:r w:rsidR="004C39EB">
        <w:rPr>
          <w:lang w:val="en-US" w:bidi="ar-SA"/>
        </w:rPr>
        <w:t xml:space="preserve"> </w:t>
      </w:r>
      <w:r w:rsidRPr="00274A38">
        <w:rPr>
          <w:lang w:val="en-US" w:bidi="ar-SA"/>
        </w:rPr>
        <w:t>they feed into each other through identifiable channels. What remains underexplored, especially in the Indian context, is a high-frequency, regime-aware analysis that tracks these linkages over time and tests their proximity to observed episodes of financial strain. This is the contribution the next chapters aim to deliver.</w:t>
      </w:r>
    </w:p>
    <w:p w14:paraId="58D1CE02" w14:textId="77777777" w:rsidR="001A0142" w:rsidRDefault="001A0142" w:rsidP="0036128C">
      <w:pPr>
        <w:spacing w:line="360" w:lineRule="auto"/>
        <w:jc w:val="both"/>
        <w:rPr>
          <w:lang w:val="en-US" w:bidi="ar-SA"/>
        </w:rPr>
      </w:pPr>
    </w:p>
    <w:p w14:paraId="68C8E0EA" w14:textId="6983C457" w:rsidR="00274A38" w:rsidRDefault="001A0142" w:rsidP="0036128C">
      <w:pPr>
        <w:pStyle w:val="Heading2"/>
        <w:spacing w:line="360" w:lineRule="auto"/>
        <w:rPr>
          <w:lang w:val="en-US" w:bidi="ar-SA"/>
        </w:rPr>
      </w:pPr>
      <w:bookmarkStart w:id="15" w:name="_Toc200973157"/>
      <w:r w:rsidRPr="001A0142">
        <w:rPr>
          <w:lang w:val="en-US" w:bidi="ar-SA"/>
        </w:rPr>
        <w:t>2.4 India-Specific Research and Contextual Gaps</w:t>
      </w:r>
      <w:r w:rsidR="004B5321">
        <w:rPr>
          <w:lang w:val="en-US" w:bidi="ar-SA"/>
        </w:rPr>
        <w:t>.</w:t>
      </w:r>
      <w:bookmarkEnd w:id="15"/>
    </w:p>
    <w:p w14:paraId="0498806F" w14:textId="384A915C" w:rsidR="004B5321" w:rsidRPr="004B5321" w:rsidRDefault="004B5321" w:rsidP="0036128C">
      <w:pPr>
        <w:spacing w:line="360" w:lineRule="auto"/>
        <w:rPr>
          <w:sz w:val="2"/>
          <w:szCs w:val="2"/>
          <w:lang w:val="en-US" w:bidi="ar-SA"/>
        </w:rPr>
      </w:pPr>
      <w:r w:rsidRPr="004B5321">
        <w:rPr>
          <w:sz w:val="2"/>
          <w:szCs w:val="2"/>
          <w:lang w:val="en-US" w:bidi="ar-SA"/>
        </w:rPr>
        <w:t>.</w:t>
      </w:r>
    </w:p>
    <w:p w14:paraId="759B920C" w14:textId="27805341" w:rsidR="00F060BA" w:rsidRPr="00F060BA" w:rsidRDefault="00F060BA" w:rsidP="0036128C">
      <w:pPr>
        <w:spacing w:line="360" w:lineRule="auto"/>
        <w:jc w:val="both"/>
        <w:rPr>
          <w:lang w:val="en-US" w:bidi="ar-SA"/>
        </w:rPr>
      </w:pPr>
      <w:r w:rsidRPr="00F060BA">
        <w:rPr>
          <w:lang w:val="en-US" w:bidi="ar-SA"/>
        </w:rPr>
        <w:t>Even though there’s been a lot of global research on the connection between credit cycles and exchange rate movements, studies that focus specifically on India are still playing catch-up. They tend to fall short both in terms of depth and how they approach the topic. But digging into this area is crucial</w:t>
      </w:r>
      <w:r w:rsidR="00616546">
        <w:rPr>
          <w:lang w:val="en-US" w:bidi="ar-SA"/>
        </w:rPr>
        <w:t xml:space="preserve"> </w:t>
      </w:r>
      <w:r w:rsidRPr="00F060BA">
        <w:rPr>
          <w:lang w:val="en-US" w:bidi="ar-SA"/>
        </w:rPr>
        <w:t>India’s economy has some unique features that make the relationship between credit and currency not just complex, but also really important to understand.</w:t>
      </w:r>
    </w:p>
    <w:p w14:paraId="6C3EC6D3" w14:textId="77FC59E2" w:rsidR="00F060BA" w:rsidRPr="00F060BA" w:rsidRDefault="00F060BA" w:rsidP="0036128C">
      <w:pPr>
        <w:spacing w:line="360" w:lineRule="auto"/>
        <w:jc w:val="both"/>
        <w:rPr>
          <w:lang w:val="en-US" w:bidi="ar-SA"/>
        </w:rPr>
      </w:pPr>
      <w:r w:rsidRPr="00F060BA">
        <w:rPr>
          <w:lang w:val="en-US" w:bidi="ar-SA"/>
        </w:rPr>
        <w:t>For starters, India’s credit system is pretty fragmented. You've got scheduled commercial banks, NBFCs (non-bank financial companies), cooperative lenders, and informal moneylenders all operating at the same time, often serving very different groups of people. Most studies only look at bank credit, which leaves out a big chunk of the picture</w:t>
      </w:r>
      <w:r w:rsidR="00616546">
        <w:rPr>
          <w:lang w:val="en-US" w:bidi="ar-SA"/>
        </w:rPr>
        <w:t xml:space="preserve"> </w:t>
      </w:r>
      <w:r w:rsidRPr="00F060BA">
        <w:rPr>
          <w:lang w:val="en-US" w:bidi="ar-SA"/>
        </w:rPr>
        <w:t>NBFCs alone now make up over 20% of total credit in the system. On top of that, informal lending plays a big role in rural and semi-urban areas, but it’s almost never factored into big-picture economic models, mainly because there’s no real-time data to work with.</w:t>
      </w:r>
    </w:p>
    <w:p w14:paraId="3F5E7F38" w14:textId="57C7ED0B" w:rsidR="00F060BA" w:rsidRPr="00F060BA" w:rsidRDefault="00F060BA" w:rsidP="0036128C">
      <w:pPr>
        <w:spacing w:line="360" w:lineRule="auto"/>
        <w:jc w:val="both"/>
        <w:rPr>
          <w:lang w:val="en-US" w:bidi="ar-SA"/>
        </w:rPr>
      </w:pPr>
      <w:r w:rsidRPr="00F060BA">
        <w:rPr>
          <w:lang w:val="en-US" w:bidi="ar-SA"/>
        </w:rPr>
        <w:t xml:space="preserve">India also uses a managed float when it comes to its currency. That means the Reserve Bank of India steps in to smooth out any big swings in the exchange rate. But unlike some other </w:t>
      </w:r>
      <w:r w:rsidRPr="00F060BA">
        <w:rPr>
          <w:lang w:val="en-US" w:bidi="ar-SA"/>
        </w:rPr>
        <w:lastRenderedPageBreak/>
        <w:t>emerging markets, these interventions aren’t always sterilized, which means they can end up affecting how much money is floating around in the economy</w:t>
      </w:r>
      <w:r w:rsidR="00616546">
        <w:rPr>
          <w:lang w:val="en-US" w:bidi="ar-SA"/>
        </w:rPr>
        <w:t xml:space="preserve"> </w:t>
      </w:r>
      <w:r w:rsidRPr="00F060BA">
        <w:rPr>
          <w:lang w:val="en-US" w:bidi="ar-SA"/>
        </w:rPr>
        <w:t>and that, in turn, impacts how much credit is available. A lot of research misses this connection, treating currency shifts and credit conditions as if they’re separate issues, when in reality they’re pretty closely linked.</w:t>
      </w:r>
    </w:p>
    <w:p w14:paraId="274356D8" w14:textId="7053EEDE" w:rsidR="00F060BA" w:rsidRPr="00F060BA" w:rsidRDefault="00F060BA" w:rsidP="0036128C">
      <w:pPr>
        <w:spacing w:line="360" w:lineRule="auto"/>
        <w:jc w:val="both"/>
        <w:rPr>
          <w:lang w:val="en-US" w:bidi="ar-SA"/>
        </w:rPr>
      </w:pPr>
      <w:r w:rsidRPr="00F060BA">
        <w:rPr>
          <w:lang w:val="en-US" w:bidi="ar-SA"/>
        </w:rPr>
        <w:t xml:space="preserve">Another problem is that most India-focused studies use quarterly or even annual data. That kind of low-frequency approach tends to gloss over short-term feedback loops and misses early warning signs of deeper problems. In a country like India, where credit and exchange rate movements can be triggered by global capital flows, swings in commodity prices, or changes in policies overseas, high-frequency analysis is </w:t>
      </w:r>
      <w:proofErr w:type="gramStart"/>
      <w:r w:rsidRPr="00F060BA">
        <w:rPr>
          <w:lang w:val="en-US" w:bidi="ar-SA"/>
        </w:rPr>
        <w:t>crucial</w:t>
      </w:r>
      <w:proofErr w:type="gramEnd"/>
      <w:r w:rsidR="00616546">
        <w:rPr>
          <w:lang w:val="en-US" w:bidi="ar-SA"/>
        </w:rPr>
        <w:t xml:space="preserve"> </w:t>
      </w:r>
      <w:r w:rsidRPr="00F060BA">
        <w:rPr>
          <w:lang w:val="en-US" w:bidi="ar-SA"/>
        </w:rPr>
        <w:t>but it’s rarely done.</w:t>
      </w:r>
    </w:p>
    <w:p w14:paraId="5D676B97" w14:textId="77777777" w:rsidR="00F060BA" w:rsidRPr="00F060BA" w:rsidRDefault="00F060BA" w:rsidP="0036128C">
      <w:pPr>
        <w:spacing w:line="360" w:lineRule="auto"/>
        <w:jc w:val="both"/>
        <w:rPr>
          <w:lang w:val="en-US" w:bidi="ar-SA"/>
        </w:rPr>
      </w:pPr>
      <w:r w:rsidRPr="00F060BA">
        <w:rPr>
          <w:lang w:val="en-US" w:bidi="ar-SA"/>
        </w:rPr>
        <w:t xml:space="preserve">Some past research has scratched the surface. </w:t>
      </w:r>
      <w:proofErr w:type="spellStart"/>
      <w:r w:rsidRPr="00F060BA">
        <w:rPr>
          <w:lang w:val="en-US" w:bidi="ar-SA"/>
        </w:rPr>
        <w:t>Prabheesh</w:t>
      </w:r>
      <w:proofErr w:type="spellEnd"/>
      <w:r w:rsidRPr="00F060BA">
        <w:rPr>
          <w:lang w:val="en-US" w:bidi="ar-SA"/>
        </w:rPr>
        <w:t xml:space="preserve"> and colleagues (2021) looked at how exchange rate changes pass through to prices, but they left out NBFCs and informal lending. Patnaik and Shah (2010) examined how capital flows can be volatile, but didn’t go into how those shifts might tie into credit cycles. Mukherjee and Naka (2016) explored the relationship between currency values and inflation but barely touched on private sector credit.</w:t>
      </w:r>
    </w:p>
    <w:p w14:paraId="639778DD" w14:textId="1134CB74" w:rsidR="00F060BA" w:rsidRPr="00F060BA" w:rsidRDefault="00F060BA" w:rsidP="0036128C">
      <w:pPr>
        <w:spacing w:line="360" w:lineRule="auto"/>
        <w:jc w:val="both"/>
        <w:rPr>
          <w:lang w:val="en-US" w:bidi="ar-SA"/>
        </w:rPr>
      </w:pPr>
      <w:r w:rsidRPr="00F060BA">
        <w:rPr>
          <w:lang w:val="en-US" w:bidi="ar-SA"/>
        </w:rPr>
        <w:t>India’s system for managing financial risks is still a work in progress. The RBI does monitor things like the credit-to-GDP gap, but it hasn’t actually used tools like the Countercyclical Capital Buffer yet. Rules like loan-to-value limits for home loans are on the books, but they’re not consistently applied. And there’s been very little effort to understand how these tools interact with currency movements</w:t>
      </w:r>
      <w:r w:rsidR="00616546">
        <w:rPr>
          <w:lang w:val="en-US" w:bidi="ar-SA"/>
        </w:rPr>
        <w:t xml:space="preserve"> </w:t>
      </w:r>
      <w:r w:rsidRPr="00F060BA">
        <w:rPr>
          <w:lang w:val="en-US" w:bidi="ar-SA"/>
        </w:rPr>
        <w:t>even though there’s growing evidence that coordinated policies could help prevent bigger financial problems down the line.</w:t>
      </w:r>
    </w:p>
    <w:p w14:paraId="45049D89" w14:textId="77777777" w:rsidR="00F060BA" w:rsidRPr="00F060BA" w:rsidRDefault="00F060BA" w:rsidP="0036128C">
      <w:pPr>
        <w:spacing w:line="360" w:lineRule="auto"/>
        <w:jc w:val="both"/>
        <w:rPr>
          <w:lang w:val="en-US" w:bidi="ar-SA"/>
        </w:rPr>
      </w:pPr>
      <w:r w:rsidRPr="00F060BA">
        <w:rPr>
          <w:lang w:val="en-US" w:bidi="ar-SA"/>
        </w:rPr>
        <w:t>To fill in some of these gaps, this thesis puts together a new, more complete private credit index that combines data from banks, NBFCs, and even estimated figures for informal lending based on surveys. It also creates a Composite Exchange Rate Deviation Index (CERDI), pulling together the INR/USD and INR/EUR exchange rates, along with India’s NEER, and weights them based on trade patterns. The analysis uses a rolling-window VAR model, along with CUSUM and PELT techniques to spot structural breaks, all based on biweekly data from 2017 through 2025.</w:t>
      </w:r>
    </w:p>
    <w:p w14:paraId="5D1C7625" w14:textId="5BF2F50C" w:rsidR="00F060BA" w:rsidRPr="00F060BA" w:rsidRDefault="00F060BA" w:rsidP="0036128C">
      <w:pPr>
        <w:spacing w:line="360" w:lineRule="auto"/>
        <w:jc w:val="both"/>
        <w:rPr>
          <w:lang w:val="en-US" w:bidi="ar-SA"/>
        </w:rPr>
      </w:pPr>
      <w:r w:rsidRPr="00F060BA">
        <w:rPr>
          <w:lang w:val="en-US" w:bidi="ar-SA"/>
        </w:rPr>
        <w:t>By blending detailed methods with a deep understanding of how things work in India’s credit markets, this study offers a clearer, more real-world view of how financial instability might develop</w:t>
      </w:r>
      <w:r w:rsidR="00616546">
        <w:rPr>
          <w:lang w:val="en-US" w:bidi="ar-SA"/>
        </w:rPr>
        <w:t xml:space="preserve"> </w:t>
      </w:r>
      <w:r w:rsidRPr="00F060BA">
        <w:rPr>
          <w:lang w:val="en-US" w:bidi="ar-SA"/>
        </w:rPr>
        <w:t>and how to catch the warning signs before things spiral out of control.</w:t>
      </w:r>
    </w:p>
    <w:p w14:paraId="6F317030" w14:textId="77777777" w:rsidR="00274A38" w:rsidRPr="001A0142" w:rsidRDefault="00274A38" w:rsidP="00791D03">
      <w:pPr>
        <w:pStyle w:val="Heading2"/>
        <w:rPr>
          <w:lang w:val="en-US" w:bidi="ar-SA"/>
        </w:rPr>
      </w:pPr>
    </w:p>
    <w:p w14:paraId="52945409" w14:textId="77777777" w:rsidR="001A0142" w:rsidRDefault="001A0142" w:rsidP="0036128C">
      <w:pPr>
        <w:pStyle w:val="Heading2"/>
        <w:spacing w:line="360" w:lineRule="auto"/>
        <w:rPr>
          <w:lang w:val="en-US" w:bidi="ar-SA"/>
        </w:rPr>
      </w:pPr>
      <w:bookmarkStart w:id="16" w:name="_Toc200973158"/>
      <w:r w:rsidRPr="001A0142">
        <w:rPr>
          <w:lang w:val="en-US" w:bidi="ar-SA"/>
        </w:rPr>
        <w:t>2.5 Methodological Contributions and Extensions</w:t>
      </w:r>
      <w:bookmarkEnd w:id="16"/>
    </w:p>
    <w:p w14:paraId="56AE8A97" w14:textId="01079548" w:rsidR="004B5321" w:rsidRPr="004B5321" w:rsidRDefault="004B5321" w:rsidP="0036128C">
      <w:pPr>
        <w:spacing w:line="360" w:lineRule="auto"/>
        <w:rPr>
          <w:sz w:val="2"/>
          <w:szCs w:val="2"/>
          <w:lang w:val="en-US" w:bidi="ar-SA"/>
        </w:rPr>
      </w:pPr>
      <w:r w:rsidRPr="004B5321">
        <w:rPr>
          <w:sz w:val="2"/>
          <w:szCs w:val="2"/>
          <w:lang w:val="en-US" w:bidi="ar-SA"/>
        </w:rPr>
        <w:t>.</w:t>
      </w:r>
    </w:p>
    <w:p w14:paraId="1F68B7C9" w14:textId="77777777" w:rsidR="001A0142" w:rsidRPr="001A0142" w:rsidRDefault="001A0142" w:rsidP="0036128C">
      <w:pPr>
        <w:spacing w:line="360" w:lineRule="auto"/>
        <w:jc w:val="both"/>
        <w:rPr>
          <w:lang w:val="en-US" w:bidi="ar-SA"/>
        </w:rPr>
      </w:pPr>
      <w:r w:rsidRPr="001A0142">
        <w:rPr>
          <w:lang w:val="en-US" w:bidi="ar-SA"/>
        </w:rPr>
        <w:t>The empirical strategy adopted in this thesis contributes to both methodological refinement and policy relevance. While conventional VAR models have been extensively used in macroeconomic forecasting, their use in identifying structural breaks in India-specific FX-credit dynamics is rare. This thesis leverages rolling-window VARs to trace coefficient evolution and validate them using CUSUM tests, MOSUM tests, and the PELT algorithm for change-point detection.</w:t>
      </w:r>
    </w:p>
    <w:p w14:paraId="0F5F5DAF" w14:textId="77777777" w:rsidR="001A0142" w:rsidRPr="001A0142" w:rsidRDefault="001A0142" w:rsidP="0036128C">
      <w:pPr>
        <w:spacing w:line="360" w:lineRule="auto"/>
        <w:jc w:val="both"/>
        <w:rPr>
          <w:lang w:val="en-US" w:bidi="ar-SA"/>
        </w:rPr>
      </w:pPr>
      <w:r w:rsidRPr="001A0142">
        <w:rPr>
          <w:lang w:val="en-US" w:bidi="ar-SA"/>
        </w:rPr>
        <w:t>Unlike typical applications of VAR that assume time-invariant coefficients, the rolling approach allows parameters to vary across sub-samples. This flexibility captures shifting economic relationships, such as the strengthening of the credit-to-FX channel post-2017 or the regime shift during the COVID-induced global liquidity crunch. The methodology also employs recursive impulse-response functions and variance decompositions, providing both predictive and diagnostic insight.</w:t>
      </w:r>
    </w:p>
    <w:p w14:paraId="5899B6DF" w14:textId="5163DF93" w:rsidR="001A0142" w:rsidRPr="001A0142" w:rsidRDefault="001A0142" w:rsidP="0036128C">
      <w:pPr>
        <w:spacing w:line="360" w:lineRule="auto"/>
        <w:jc w:val="both"/>
        <w:rPr>
          <w:lang w:val="en-US" w:bidi="ar-SA"/>
        </w:rPr>
      </w:pPr>
      <w:bookmarkStart w:id="17" w:name="_Hlk201924232"/>
      <w:r w:rsidRPr="001A0142">
        <w:rPr>
          <w:lang w:val="en-US" w:bidi="ar-SA"/>
        </w:rPr>
        <w:t>In addition to the rolling VAR framework</w:t>
      </w:r>
      <w:r w:rsidR="003E1209">
        <w:rPr>
          <w:lang w:val="en-US" w:bidi="ar-SA"/>
        </w:rPr>
        <w:t xml:space="preserve">. </w:t>
      </w:r>
      <w:r w:rsidRPr="001A0142">
        <w:rPr>
          <w:lang w:val="en-US" w:bidi="ar-SA"/>
        </w:rPr>
        <w:t xml:space="preserve"> This is particularly relevant in India's context, where interventions such as rate cuts, liquidity injections, or regulatory easing can fundamentally alter system dynamics within short periods.</w:t>
      </w:r>
    </w:p>
    <w:p w14:paraId="1C0980F9" w14:textId="77777777" w:rsidR="001A0142" w:rsidRPr="001A0142" w:rsidRDefault="001A0142" w:rsidP="0036128C">
      <w:pPr>
        <w:spacing w:line="360" w:lineRule="auto"/>
        <w:jc w:val="both"/>
        <w:rPr>
          <w:lang w:val="en-US" w:bidi="ar-SA"/>
        </w:rPr>
      </w:pPr>
      <w:r w:rsidRPr="001A0142">
        <w:rPr>
          <w:lang w:val="en-US" w:bidi="ar-SA"/>
        </w:rPr>
        <w:t>Other empirical extensions include:</w:t>
      </w:r>
    </w:p>
    <w:p w14:paraId="33A5A2E1" w14:textId="77777777" w:rsidR="001A0142" w:rsidRPr="001A0142" w:rsidRDefault="001A0142" w:rsidP="0036128C">
      <w:pPr>
        <w:numPr>
          <w:ilvl w:val="0"/>
          <w:numId w:val="51"/>
        </w:numPr>
        <w:spacing w:line="360" w:lineRule="auto"/>
        <w:jc w:val="both"/>
        <w:rPr>
          <w:lang w:val="en-US" w:bidi="ar-SA"/>
        </w:rPr>
      </w:pPr>
      <w:r w:rsidRPr="001A0142">
        <w:rPr>
          <w:lang w:val="en-US" w:bidi="ar-SA"/>
        </w:rPr>
        <w:t>MIDAS regressions for harmonizing variables at different frequencies</w:t>
      </w:r>
    </w:p>
    <w:p w14:paraId="74666415" w14:textId="77777777" w:rsidR="001A0142" w:rsidRPr="001A0142" w:rsidRDefault="001A0142" w:rsidP="0036128C">
      <w:pPr>
        <w:numPr>
          <w:ilvl w:val="0"/>
          <w:numId w:val="51"/>
        </w:numPr>
        <w:spacing w:line="360" w:lineRule="auto"/>
        <w:jc w:val="both"/>
        <w:rPr>
          <w:lang w:val="en-US" w:bidi="ar-SA"/>
        </w:rPr>
      </w:pPr>
      <w:r w:rsidRPr="001A0142">
        <w:rPr>
          <w:lang w:val="en-US" w:bidi="ar-SA"/>
        </w:rPr>
        <w:t>Factor-augmented VARs (FAVARs) to control for latent macroeconomic shocks</w:t>
      </w:r>
    </w:p>
    <w:p w14:paraId="171A6B5F" w14:textId="77777777" w:rsidR="001A0142" w:rsidRPr="001A0142" w:rsidRDefault="001A0142" w:rsidP="0036128C">
      <w:pPr>
        <w:numPr>
          <w:ilvl w:val="0"/>
          <w:numId w:val="51"/>
        </w:numPr>
        <w:spacing w:line="360" w:lineRule="auto"/>
        <w:jc w:val="both"/>
        <w:rPr>
          <w:lang w:val="en-US" w:bidi="ar-SA"/>
        </w:rPr>
      </w:pPr>
      <w:r w:rsidRPr="001A0142">
        <w:rPr>
          <w:lang w:val="en-US" w:bidi="ar-SA"/>
        </w:rPr>
        <w:t>Bayesian VARs (BVARs) using priors calibrated from global studies to improve small-sample inference</w:t>
      </w:r>
    </w:p>
    <w:p w14:paraId="66D4BF6B" w14:textId="5B7EB8D6" w:rsidR="00F060BA" w:rsidRDefault="001A0142" w:rsidP="0036128C">
      <w:pPr>
        <w:spacing w:line="360" w:lineRule="auto"/>
        <w:jc w:val="both"/>
        <w:rPr>
          <w:lang w:val="en-US" w:bidi="ar-SA"/>
        </w:rPr>
      </w:pPr>
      <w:r w:rsidRPr="001A0142">
        <w:rPr>
          <w:lang w:val="en-US" w:bidi="ar-SA"/>
        </w:rPr>
        <w:t>Together, these methods contribute a robust empirical architecture for monitoring FX-credit dynamics in emerging markets.</w:t>
      </w:r>
    </w:p>
    <w:bookmarkEnd w:id="17"/>
    <w:p w14:paraId="2785D0FF" w14:textId="77777777" w:rsidR="00F060BA" w:rsidRDefault="00F060BA">
      <w:pPr>
        <w:rPr>
          <w:lang w:val="en-US" w:bidi="ar-SA"/>
        </w:rPr>
      </w:pPr>
      <w:r>
        <w:rPr>
          <w:lang w:val="en-US" w:bidi="ar-SA"/>
        </w:rPr>
        <w:br w:type="page"/>
      </w:r>
    </w:p>
    <w:p w14:paraId="34CA99E5" w14:textId="77777777" w:rsidR="00F060BA" w:rsidRPr="00F060BA" w:rsidRDefault="00F060BA" w:rsidP="00F060BA">
      <w:pPr>
        <w:spacing w:line="360" w:lineRule="auto"/>
        <w:jc w:val="both"/>
        <w:rPr>
          <w:lang w:val="en-US" w:bidi="ar-SA"/>
        </w:rPr>
      </w:pPr>
    </w:p>
    <w:p w14:paraId="7165A136" w14:textId="24B24A2F" w:rsidR="001A0142" w:rsidRDefault="001A0142" w:rsidP="0036128C">
      <w:pPr>
        <w:pStyle w:val="Heading2"/>
        <w:spacing w:line="360" w:lineRule="auto"/>
        <w:rPr>
          <w:lang w:val="en-US" w:bidi="ar-SA"/>
        </w:rPr>
      </w:pPr>
      <w:bookmarkStart w:id="18" w:name="_Toc200973159"/>
      <w:r w:rsidRPr="001A0142">
        <w:rPr>
          <w:lang w:val="en-US" w:bidi="ar-SA"/>
        </w:rPr>
        <w:t>2.6 Policy Calibration, Simulation, and Practical Relevance</w:t>
      </w:r>
      <w:bookmarkEnd w:id="18"/>
    </w:p>
    <w:p w14:paraId="47ED27BE" w14:textId="701A9071" w:rsidR="004B5321" w:rsidRPr="004B5321" w:rsidRDefault="004B5321" w:rsidP="0036128C">
      <w:pPr>
        <w:spacing w:line="360" w:lineRule="auto"/>
        <w:rPr>
          <w:sz w:val="2"/>
          <w:szCs w:val="2"/>
          <w:lang w:val="en-US" w:bidi="ar-SA"/>
        </w:rPr>
      </w:pPr>
      <w:r w:rsidRPr="004B5321">
        <w:rPr>
          <w:sz w:val="2"/>
          <w:szCs w:val="2"/>
          <w:lang w:val="en-US" w:bidi="ar-SA"/>
        </w:rPr>
        <w:t>.</w:t>
      </w:r>
    </w:p>
    <w:p w14:paraId="7C6C217A" w14:textId="77777777" w:rsidR="00491A38" w:rsidRPr="00491A38" w:rsidRDefault="00491A38" w:rsidP="0036128C">
      <w:pPr>
        <w:spacing w:line="360" w:lineRule="auto"/>
        <w:jc w:val="both"/>
        <w:rPr>
          <w:lang w:val="en-US" w:bidi="ar-SA"/>
        </w:rPr>
      </w:pPr>
      <w:r w:rsidRPr="00491A38">
        <w:rPr>
          <w:lang w:val="en-US" w:bidi="ar-SA"/>
        </w:rPr>
        <w:t>While models and data tools are crucial for understanding how different parts of the economy are connected, their real value comes from how they help shape policy. In India’s changing economic and financial landscape, figuring out the right policy response to credit booms and exchange rate swings is still a major challenge. This section breaks down how the thesis uses data simulations and real-world analysis to help guide policy decisions.</w:t>
      </w:r>
    </w:p>
    <w:p w14:paraId="5B4D48AB" w14:textId="3DCC3CBE" w:rsidR="00491A38" w:rsidRPr="00491A38" w:rsidRDefault="00491A38" w:rsidP="0036128C">
      <w:pPr>
        <w:spacing w:line="360" w:lineRule="auto"/>
        <w:jc w:val="both"/>
        <w:rPr>
          <w:lang w:val="en-US" w:bidi="ar-SA"/>
        </w:rPr>
      </w:pPr>
      <w:r w:rsidRPr="00491A38">
        <w:rPr>
          <w:lang w:val="en-US" w:bidi="ar-SA"/>
        </w:rPr>
        <w:t>The simulations in this study rely on rolling VAR models and structural break tests using the CUSUM and PELT algorithms. These tools spot points in time when the relationship between private credit growth and exchange rate shifts noticeably. Once these breakpoints are identified, the model looks back at what policies were</w:t>
      </w:r>
      <w:r>
        <w:rPr>
          <w:lang w:val="en-US" w:bidi="ar-SA"/>
        </w:rPr>
        <w:t xml:space="preserve"> </w:t>
      </w:r>
      <w:r w:rsidRPr="00491A38">
        <w:rPr>
          <w:lang w:val="en-US" w:bidi="ar-SA"/>
        </w:rPr>
        <w:t>or weren’t</w:t>
      </w:r>
      <w:r>
        <w:rPr>
          <w:lang w:val="en-US" w:bidi="ar-SA"/>
        </w:rPr>
        <w:t xml:space="preserve"> </w:t>
      </w:r>
      <w:r w:rsidRPr="00491A38">
        <w:rPr>
          <w:lang w:val="en-US" w:bidi="ar-SA"/>
        </w:rPr>
        <w:t>put in place during those periods, offering "what-if" scenarios. This helps illustrate how earlier or stronger policy actions might have changed how crises played out.</w:t>
      </w:r>
    </w:p>
    <w:p w14:paraId="3EE9B1FF" w14:textId="2FE8EC6C" w:rsidR="00491A38" w:rsidRPr="00491A38" w:rsidRDefault="00491A38" w:rsidP="0036128C">
      <w:pPr>
        <w:spacing w:line="360" w:lineRule="auto"/>
        <w:jc w:val="both"/>
        <w:rPr>
          <w:lang w:val="en-US" w:bidi="ar-SA"/>
        </w:rPr>
      </w:pPr>
      <w:r w:rsidRPr="00491A38">
        <w:rPr>
          <w:lang w:val="en-US" w:bidi="ar-SA"/>
        </w:rPr>
        <w:t>One key example in the thesis is the NBFC liquidity crunch in 2018, which followed the IL&amp;FS default. The rolling VAR results show a clear shift in the relationship between credit and exchange rate volatility in the lead-up to the crisis. If a Countercyclical Capital Buffer (</w:t>
      </w:r>
      <w:proofErr w:type="spellStart"/>
      <w:r w:rsidRPr="00491A38">
        <w:rPr>
          <w:lang w:val="en-US" w:bidi="ar-SA"/>
        </w:rPr>
        <w:t>CCyB</w:t>
      </w:r>
      <w:proofErr w:type="spellEnd"/>
      <w:r w:rsidRPr="00491A38">
        <w:rPr>
          <w:lang w:val="en-US" w:bidi="ar-SA"/>
        </w:rPr>
        <w:t>) had been put in place a year earlier</w:t>
      </w:r>
      <w:r w:rsidR="004C39EB">
        <w:rPr>
          <w:lang w:val="en-US" w:bidi="ar-SA"/>
        </w:rPr>
        <w:t xml:space="preserve"> </w:t>
      </w:r>
      <w:r w:rsidRPr="00491A38">
        <w:rPr>
          <w:lang w:val="en-US" w:bidi="ar-SA"/>
        </w:rPr>
        <w:t>when lending to NBFCs started outpacing historical norms</w:t>
      </w:r>
      <w:r w:rsidR="004C39EB">
        <w:rPr>
          <w:lang w:val="en-US" w:bidi="ar-SA"/>
        </w:rPr>
        <w:t xml:space="preserve"> </w:t>
      </w:r>
      <w:r w:rsidRPr="00491A38">
        <w:rPr>
          <w:lang w:val="en-US" w:bidi="ar-SA"/>
        </w:rPr>
        <w:t>it could have helped slow down lending and eased some of the pressure. Similarly, a simulated scenario with a cap on Loan-to-Value (LTV) ratios shows that earlier limits on housing loans might have kept overall risk levels in check before the crisis hit.</w:t>
      </w:r>
    </w:p>
    <w:p w14:paraId="265E505D" w14:textId="77777777" w:rsidR="00491A38" w:rsidRPr="00491A38" w:rsidRDefault="00491A38" w:rsidP="0036128C">
      <w:pPr>
        <w:spacing w:line="360" w:lineRule="auto"/>
        <w:jc w:val="both"/>
        <w:rPr>
          <w:lang w:val="en-US" w:bidi="ar-SA"/>
        </w:rPr>
      </w:pPr>
      <w:r w:rsidRPr="00491A38">
        <w:rPr>
          <w:lang w:val="en-US" w:bidi="ar-SA"/>
        </w:rPr>
        <w:t>This method mirrors some of the early warning systems used in places like Europe and Latin America, where tools that detect turning points are used alongside credit and FX indicators to shape policy decisions. In India, while the RBI does publish credit-to-GDP gap figures and stress-test results, it doesn’t currently use real-time indicators like rolling coefficients or time-varying betas. This thesis argues that adding those tools could strengthen the RBI’s current monitoring setup.</w:t>
      </w:r>
    </w:p>
    <w:p w14:paraId="0B3DD9A1" w14:textId="77777777" w:rsidR="00491A38" w:rsidRPr="00491A38" w:rsidRDefault="00491A38" w:rsidP="0036128C">
      <w:pPr>
        <w:spacing w:line="360" w:lineRule="auto"/>
        <w:jc w:val="both"/>
        <w:rPr>
          <w:lang w:val="en-US" w:bidi="ar-SA"/>
        </w:rPr>
      </w:pPr>
      <w:r w:rsidRPr="00491A38">
        <w:rPr>
          <w:lang w:val="en-US" w:bidi="ar-SA"/>
        </w:rPr>
        <w:t xml:space="preserve">Another key </w:t>
      </w:r>
      <w:proofErr w:type="gramStart"/>
      <w:r w:rsidRPr="00491A38">
        <w:rPr>
          <w:lang w:val="en-US" w:bidi="ar-SA"/>
        </w:rPr>
        <w:t>point</w:t>
      </w:r>
      <w:proofErr w:type="gramEnd"/>
      <w:r w:rsidRPr="00491A38">
        <w:rPr>
          <w:lang w:val="en-US" w:bidi="ar-SA"/>
        </w:rPr>
        <w:t xml:space="preserve"> the simulations highlight is the time lag between when instability shows up in the data and when policy action actually happens. The results show that many of the breakpoints in the VAR model show up weeks before obvious signs of trouble like defaults or exchange rate spikes. That opens up a window for earlier action. For example, if the credit-to-</w:t>
      </w:r>
      <w:r w:rsidRPr="00491A38">
        <w:rPr>
          <w:lang w:val="en-US" w:bidi="ar-SA"/>
        </w:rPr>
        <w:lastRenderedPageBreak/>
        <w:t>FX beta climbs above a certain level for a few months in a row, it could trigger a review of lending rules or capital buffers for specific sectors.</w:t>
      </w:r>
    </w:p>
    <w:p w14:paraId="5ED2A0CC" w14:textId="0287DA44" w:rsidR="00491A38" w:rsidRPr="00491A38" w:rsidRDefault="00491A38" w:rsidP="0036128C">
      <w:pPr>
        <w:spacing w:line="360" w:lineRule="auto"/>
        <w:jc w:val="both"/>
        <w:rPr>
          <w:lang w:val="en-US" w:bidi="ar-SA"/>
        </w:rPr>
      </w:pPr>
      <w:r w:rsidRPr="00491A38">
        <w:rPr>
          <w:lang w:val="en-US" w:bidi="ar-SA"/>
        </w:rPr>
        <w:t>The thesis also looks at exchange rate policy. A Composite Exchange Rate Deviation Index (CERDI)</w:t>
      </w:r>
      <w:r w:rsidR="004C39EB">
        <w:rPr>
          <w:lang w:val="en-US" w:bidi="ar-SA"/>
        </w:rPr>
        <w:t xml:space="preserve"> </w:t>
      </w:r>
      <w:r w:rsidRPr="00491A38">
        <w:rPr>
          <w:lang w:val="en-US" w:bidi="ar-SA"/>
        </w:rPr>
        <w:t>built using INR/USD, INR/EUR, and NEER data</w:t>
      </w:r>
      <w:r w:rsidR="004C39EB">
        <w:rPr>
          <w:lang w:val="en-US" w:bidi="ar-SA"/>
        </w:rPr>
        <w:t xml:space="preserve"> </w:t>
      </w:r>
      <w:r w:rsidRPr="00491A38">
        <w:rPr>
          <w:lang w:val="en-US" w:bidi="ar-SA"/>
        </w:rPr>
        <w:t>tracks times when the rupee seemed over- or undervalued compared to trade fundamentals. When this index is viewed alongside credit data, it becomes a useful warning signal: if credit growth is climbing and the rupee looks overvalued, the economy might be more vulnerable to external shocks. This can help guide decisions on whether the RBI should step into the FX market or tweak liquidity policies.</w:t>
      </w:r>
    </w:p>
    <w:p w14:paraId="516F8B80" w14:textId="77777777" w:rsidR="00491A38" w:rsidRPr="00491A38" w:rsidRDefault="00491A38" w:rsidP="0036128C">
      <w:pPr>
        <w:spacing w:line="360" w:lineRule="auto"/>
        <w:jc w:val="both"/>
        <w:rPr>
          <w:lang w:val="en-US" w:bidi="ar-SA"/>
        </w:rPr>
      </w:pPr>
      <w:r w:rsidRPr="00491A38">
        <w:rPr>
          <w:lang w:val="en-US" w:bidi="ar-SA"/>
        </w:rPr>
        <w:t>While the simulations in the thesis are fairly simple to match the available data and methods, they lay the groundwork for more advanced models down the line. Future research could bring in interest rates, inflation trends, or capital flows to build a more complete picture.</w:t>
      </w:r>
    </w:p>
    <w:p w14:paraId="3F477BBA" w14:textId="77777777" w:rsidR="00491A38" w:rsidRPr="00491A38" w:rsidRDefault="00491A38" w:rsidP="0036128C">
      <w:pPr>
        <w:spacing w:line="360" w:lineRule="auto"/>
        <w:jc w:val="both"/>
        <w:rPr>
          <w:lang w:val="en-US" w:bidi="ar-SA"/>
        </w:rPr>
      </w:pPr>
      <w:r w:rsidRPr="00491A38">
        <w:rPr>
          <w:lang w:val="en-US" w:bidi="ar-SA"/>
        </w:rPr>
        <w:t>Overall, this thesis shows how academic tools can be used to shape real-world policy. It makes the case that using real-time data and flexible models can lead to insights that are both technically sound and practically useful. By moving beyond just analysis and into planning and crisis prevention, the work adds something valuable to the conversation around India’s economic policy.</w:t>
      </w:r>
    </w:p>
    <w:p w14:paraId="04478FD0" w14:textId="53AF85A7" w:rsidR="00F060BA" w:rsidRDefault="00F060BA">
      <w:pPr>
        <w:rPr>
          <w:lang w:val="en-US" w:bidi="ar-SA"/>
        </w:rPr>
      </w:pPr>
      <w:r>
        <w:rPr>
          <w:lang w:val="en-US" w:bidi="ar-SA"/>
        </w:rPr>
        <w:br w:type="page"/>
      </w:r>
    </w:p>
    <w:p w14:paraId="0FA7284B" w14:textId="77777777" w:rsidR="004415DE" w:rsidRDefault="004415DE" w:rsidP="0036128C">
      <w:pPr>
        <w:spacing w:line="360" w:lineRule="auto"/>
        <w:jc w:val="both"/>
        <w:rPr>
          <w:b/>
          <w:bCs/>
          <w:lang w:val="en-US" w:bidi="ar-SA"/>
        </w:rPr>
      </w:pPr>
      <w:bookmarkStart w:id="19" w:name="_Hlk200969558"/>
    </w:p>
    <w:p w14:paraId="79801BF6" w14:textId="69ED9B12" w:rsidR="007A355E" w:rsidRDefault="001A0142" w:rsidP="0036128C">
      <w:pPr>
        <w:pStyle w:val="Heading2"/>
        <w:spacing w:line="360" w:lineRule="auto"/>
        <w:rPr>
          <w:lang w:val="en-US" w:bidi="ar-SA"/>
        </w:rPr>
      </w:pPr>
      <w:bookmarkStart w:id="20" w:name="_Toc200973160"/>
      <w:r w:rsidRPr="001A0142">
        <w:rPr>
          <w:lang w:val="en-US" w:bidi="ar-SA"/>
        </w:rPr>
        <w:t>2.7 Summary of Contributions</w:t>
      </w:r>
      <w:bookmarkEnd w:id="10"/>
      <w:bookmarkEnd w:id="12"/>
      <w:bookmarkEnd w:id="19"/>
      <w:bookmarkEnd w:id="20"/>
    </w:p>
    <w:p w14:paraId="76A71D46" w14:textId="041B0B35" w:rsidR="004B5321" w:rsidRPr="004B5321" w:rsidRDefault="004B5321" w:rsidP="0036128C">
      <w:pPr>
        <w:spacing w:line="360" w:lineRule="auto"/>
        <w:rPr>
          <w:sz w:val="2"/>
          <w:szCs w:val="2"/>
          <w:lang w:val="en-US" w:bidi="ar-SA"/>
        </w:rPr>
      </w:pPr>
      <w:r w:rsidRPr="004B5321">
        <w:rPr>
          <w:sz w:val="2"/>
          <w:szCs w:val="2"/>
          <w:lang w:val="en-US" w:bidi="ar-SA"/>
        </w:rPr>
        <w:t>.</w:t>
      </w:r>
    </w:p>
    <w:p w14:paraId="37EF9892" w14:textId="6A0C2B0F" w:rsidR="007A355E" w:rsidRPr="007A355E" w:rsidRDefault="007A355E" w:rsidP="0036128C">
      <w:pPr>
        <w:spacing w:line="360" w:lineRule="auto"/>
        <w:jc w:val="both"/>
        <w:rPr>
          <w:lang w:val="en-US" w:bidi="ar-SA"/>
        </w:rPr>
      </w:pPr>
      <w:r w:rsidRPr="007A355E">
        <w:rPr>
          <w:lang w:val="en-US" w:bidi="ar-SA"/>
        </w:rPr>
        <w:t xml:space="preserve">This </w:t>
      </w:r>
      <w:r>
        <w:rPr>
          <w:lang w:val="en-US" w:bidi="ar-SA"/>
        </w:rPr>
        <w:t xml:space="preserve">work </w:t>
      </w:r>
      <w:r w:rsidRPr="007A355E">
        <w:rPr>
          <w:lang w:val="en-US" w:bidi="ar-SA"/>
        </w:rPr>
        <w:t>looks into how exchange rates, private credit growth, and financial instability are connected in India. It builds on both theory and international research to show how things like balance sheet risks, currency mismatches, and global liquidity can make shocks in the credit and currency markets even worse.</w:t>
      </w:r>
    </w:p>
    <w:p w14:paraId="7DBCF679" w14:textId="77777777" w:rsidR="007A355E" w:rsidRPr="007A355E" w:rsidRDefault="007A355E" w:rsidP="0036128C">
      <w:pPr>
        <w:spacing w:line="360" w:lineRule="auto"/>
        <w:jc w:val="both"/>
        <w:rPr>
          <w:lang w:val="en-US" w:bidi="ar-SA"/>
        </w:rPr>
      </w:pPr>
      <w:r w:rsidRPr="007A355E">
        <w:rPr>
          <w:lang w:val="en-US" w:bidi="ar-SA"/>
        </w:rPr>
        <w:t>While a lot has been written about these issues in both developed and emerging economies, there hasn’t been much research that uses high-frequency, regime-sensitive models specifically for India. Most studies on India rely on quarterly or yearly data and tend to focus on big-picture trends or inflation effects, missing how credit and currency markets interact with each other in real time.</w:t>
      </w:r>
    </w:p>
    <w:p w14:paraId="55486D34" w14:textId="77777777" w:rsidR="007A355E" w:rsidRPr="007A355E" w:rsidRDefault="007A355E" w:rsidP="0036128C">
      <w:pPr>
        <w:spacing w:line="360" w:lineRule="auto"/>
        <w:jc w:val="both"/>
        <w:rPr>
          <w:lang w:val="en-US" w:bidi="ar-SA"/>
        </w:rPr>
      </w:pPr>
      <w:r w:rsidRPr="007A355E">
        <w:rPr>
          <w:lang w:val="en-US" w:bidi="ar-SA"/>
        </w:rPr>
        <w:t>This study fills that gap by using a rolling Vector Autoregressive (VAR) model with tools to detect structural breaks, showing how the link between credit and exchange rates shifts over time. It also introduces a new Composite Exchange Rate Deviation Index (CERDI) that does a better job of spotting currency misalignments than standard exchange rates. Tools like CUSUM and PELT are used to flag periods of instability, and counterfactual simulations help explore how different macroprudential policies might play out.</w:t>
      </w:r>
    </w:p>
    <w:p w14:paraId="56923749" w14:textId="33D7C906" w:rsidR="007A355E" w:rsidRPr="007A355E" w:rsidRDefault="007A355E" w:rsidP="0036128C">
      <w:pPr>
        <w:spacing w:line="360" w:lineRule="auto"/>
        <w:jc w:val="both"/>
        <w:rPr>
          <w:lang w:val="en-US" w:bidi="ar-SA"/>
        </w:rPr>
      </w:pPr>
      <w:r w:rsidRPr="007A355E">
        <w:rPr>
          <w:lang w:val="en-US" w:bidi="ar-SA"/>
        </w:rPr>
        <w:t xml:space="preserve">One thing that makes this </w:t>
      </w:r>
      <w:r>
        <w:rPr>
          <w:lang w:val="en-US" w:bidi="ar-SA"/>
        </w:rPr>
        <w:t xml:space="preserve">work </w:t>
      </w:r>
      <w:r w:rsidRPr="007A355E">
        <w:rPr>
          <w:lang w:val="en-US" w:bidi="ar-SA"/>
        </w:rPr>
        <w:t>stand out is that it draws on data from banks, NBFCs, and informal lenders, giving a more detailed view of how credit behaves in India. By tying the analysis closely to India’s financial rules and institutions, the research not only tracks how shocks move between markets over time but also suggests how they could be monitored in real time to improve financial oversight.</w:t>
      </w:r>
    </w:p>
    <w:p w14:paraId="425FCBBA" w14:textId="77777777" w:rsidR="007A355E" w:rsidRPr="007A355E" w:rsidRDefault="007A355E" w:rsidP="0036128C">
      <w:pPr>
        <w:spacing w:line="360" w:lineRule="auto"/>
        <w:jc w:val="both"/>
        <w:rPr>
          <w:lang w:val="en-US" w:bidi="ar-SA"/>
        </w:rPr>
      </w:pPr>
      <w:r w:rsidRPr="007A355E">
        <w:rPr>
          <w:lang w:val="en-US" w:bidi="ar-SA"/>
        </w:rPr>
        <w:t xml:space="preserve">With its mix of solid methodology and practical insights, the thesis offers a forward-looking framework that </w:t>
      </w:r>
      <w:proofErr w:type="gramStart"/>
      <w:r w:rsidRPr="007A355E">
        <w:rPr>
          <w:lang w:val="en-US" w:bidi="ar-SA"/>
        </w:rPr>
        <w:t>takes into account</w:t>
      </w:r>
      <w:proofErr w:type="gramEnd"/>
      <w:r w:rsidRPr="007A355E">
        <w:rPr>
          <w:lang w:val="en-US" w:bidi="ar-SA"/>
        </w:rPr>
        <w:t xml:space="preserve"> the fast-changing nature of India’s financial system and the regulatory challenges that come with it</w:t>
      </w:r>
    </w:p>
    <w:p w14:paraId="4D7BE95E" w14:textId="77777777" w:rsidR="007A355E" w:rsidRPr="00491A38" w:rsidRDefault="007A355E" w:rsidP="0036128C">
      <w:pPr>
        <w:spacing w:line="360" w:lineRule="auto"/>
        <w:jc w:val="both"/>
        <w:rPr>
          <w:lang w:val="en-US" w:bidi="ar-SA"/>
        </w:rPr>
      </w:pPr>
    </w:p>
    <w:p w14:paraId="38950B11" w14:textId="48D66C82" w:rsidR="004415DE" w:rsidRPr="004415DE" w:rsidRDefault="004415DE" w:rsidP="0036128C">
      <w:pPr>
        <w:spacing w:line="360" w:lineRule="auto"/>
        <w:rPr>
          <w:rFonts w:asciiTheme="majorHAnsi" w:eastAsiaTheme="majorEastAsia" w:hAnsiTheme="majorHAnsi" w:cstheme="majorBidi"/>
          <w:b/>
          <w:bCs/>
          <w:color w:val="2F5496" w:themeColor="accent1" w:themeShade="BF"/>
          <w:sz w:val="28"/>
          <w:szCs w:val="28"/>
          <w:lang w:val="en-US" w:bidi="ar-SA"/>
        </w:rPr>
      </w:pPr>
      <w:r>
        <w:br w:type="page"/>
      </w:r>
    </w:p>
    <w:p w14:paraId="459B1317" w14:textId="1C899EA3" w:rsidR="00497757" w:rsidRDefault="00453F9A" w:rsidP="0036128C">
      <w:pPr>
        <w:pStyle w:val="Heading1"/>
      </w:pPr>
      <w:bookmarkStart w:id="21" w:name="_Toc200973161"/>
      <w:r w:rsidRPr="004C39EB">
        <w:lastRenderedPageBreak/>
        <w:t>3. Methodology</w:t>
      </w:r>
      <w:bookmarkEnd w:id="21"/>
    </w:p>
    <w:p w14:paraId="60980922" w14:textId="2D512D92" w:rsidR="004B5321" w:rsidRPr="004B5321" w:rsidRDefault="004B5321" w:rsidP="0036128C">
      <w:pPr>
        <w:spacing w:line="360" w:lineRule="auto"/>
        <w:rPr>
          <w:sz w:val="4"/>
          <w:szCs w:val="4"/>
        </w:rPr>
      </w:pPr>
      <w:r w:rsidRPr="004B5321">
        <w:rPr>
          <w:sz w:val="4"/>
          <w:szCs w:val="4"/>
        </w:rPr>
        <w:t>.</w:t>
      </w:r>
    </w:p>
    <w:p w14:paraId="1D774D23" w14:textId="5BE9A511" w:rsidR="0047429E" w:rsidRPr="0047429E" w:rsidRDefault="0047429E" w:rsidP="0036128C">
      <w:pPr>
        <w:pStyle w:val="Heading2"/>
        <w:spacing w:line="360" w:lineRule="auto"/>
        <w:rPr>
          <w:rFonts w:cstheme="majorBidi"/>
          <w:bCs/>
          <w:szCs w:val="24"/>
          <w:lang w:val="en-US"/>
        </w:rPr>
      </w:pPr>
      <w:bookmarkStart w:id="22" w:name="_Toc200973162"/>
      <w:r w:rsidRPr="0047429E">
        <w:rPr>
          <w:rFonts w:cstheme="majorBidi"/>
          <w:bCs/>
          <w:szCs w:val="24"/>
          <w:lang w:val="en-US"/>
        </w:rPr>
        <w:t>3.1 Data Collection</w:t>
      </w:r>
      <w:bookmarkEnd w:id="22"/>
    </w:p>
    <w:p w14:paraId="04D6F995" w14:textId="77777777" w:rsidR="0047429E" w:rsidRPr="0047429E" w:rsidRDefault="0047429E" w:rsidP="0036128C">
      <w:pPr>
        <w:spacing w:line="360" w:lineRule="auto"/>
        <w:rPr>
          <w:rFonts w:asciiTheme="majorBidi" w:hAnsiTheme="majorBidi" w:cstheme="majorBidi"/>
          <w:szCs w:val="24"/>
          <w:lang w:val="en-US"/>
        </w:rPr>
      </w:pPr>
      <w:r w:rsidRPr="0047429E">
        <w:rPr>
          <w:rFonts w:asciiTheme="majorBidi" w:hAnsiTheme="majorBidi" w:cstheme="majorBidi"/>
          <w:szCs w:val="24"/>
          <w:lang w:val="en-US"/>
        </w:rPr>
        <w:t>All quantitative series used in this study were obtained directly from the Reserve Bank of India (RBI), ensuring official, high-quality data and methodological consistency across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848"/>
        <w:gridCol w:w="2186"/>
        <w:gridCol w:w="2026"/>
        <w:gridCol w:w="1287"/>
      </w:tblGrid>
      <w:tr w:rsidR="0047429E" w:rsidRPr="0047429E" w14:paraId="4FEFCD8E" w14:textId="77777777" w:rsidTr="0047429E">
        <w:trPr>
          <w:tblHeader/>
          <w:tblCellSpacing w:w="15" w:type="dxa"/>
        </w:trPr>
        <w:tc>
          <w:tcPr>
            <w:tcW w:w="0" w:type="auto"/>
            <w:shd w:val="clear" w:color="auto" w:fill="auto"/>
            <w:vAlign w:val="center"/>
            <w:hideMark/>
          </w:tcPr>
          <w:p w14:paraId="46316FA4" w14:textId="77777777" w:rsidR="0047429E" w:rsidRPr="0047429E" w:rsidRDefault="0047429E" w:rsidP="0036128C">
            <w:pPr>
              <w:spacing w:line="360" w:lineRule="auto"/>
              <w:rPr>
                <w:rFonts w:asciiTheme="majorBidi" w:hAnsiTheme="majorBidi" w:cstheme="majorBidi"/>
                <w:b/>
                <w:bCs/>
                <w:szCs w:val="24"/>
                <w:lang w:val="en-US"/>
              </w:rPr>
            </w:pPr>
            <w:r w:rsidRPr="0047429E">
              <w:rPr>
                <w:rFonts w:asciiTheme="majorBidi" w:hAnsiTheme="majorBidi" w:cstheme="majorBidi"/>
                <w:b/>
                <w:bCs/>
                <w:szCs w:val="24"/>
                <w:lang w:val="en-US"/>
              </w:rPr>
              <w:t>Variable</w:t>
            </w:r>
          </w:p>
        </w:tc>
        <w:tc>
          <w:tcPr>
            <w:tcW w:w="0" w:type="auto"/>
            <w:shd w:val="clear" w:color="auto" w:fill="auto"/>
            <w:vAlign w:val="center"/>
            <w:hideMark/>
          </w:tcPr>
          <w:p w14:paraId="7194CE5A" w14:textId="77777777" w:rsidR="0047429E" w:rsidRPr="0047429E" w:rsidRDefault="0047429E" w:rsidP="0036128C">
            <w:pPr>
              <w:spacing w:line="360" w:lineRule="auto"/>
              <w:rPr>
                <w:rFonts w:asciiTheme="majorBidi" w:hAnsiTheme="majorBidi" w:cstheme="majorBidi"/>
                <w:b/>
                <w:bCs/>
                <w:szCs w:val="24"/>
                <w:lang w:val="en-US"/>
              </w:rPr>
            </w:pPr>
            <w:r w:rsidRPr="0047429E">
              <w:rPr>
                <w:rFonts w:asciiTheme="majorBidi" w:hAnsiTheme="majorBidi" w:cstheme="majorBidi"/>
                <w:b/>
                <w:bCs/>
                <w:szCs w:val="24"/>
                <w:lang w:val="en-US"/>
              </w:rPr>
              <w:t>RBI Source</w:t>
            </w:r>
          </w:p>
        </w:tc>
        <w:tc>
          <w:tcPr>
            <w:tcW w:w="0" w:type="auto"/>
            <w:shd w:val="clear" w:color="auto" w:fill="auto"/>
            <w:vAlign w:val="center"/>
            <w:hideMark/>
          </w:tcPr>
          <w:p w14:paraId="74BD427C" w14:textId="77777777" w:rsidR="0047429E" w:rsidRPr="0047429E" w:rsidRDefault="0047429E" w:rsidP="0036128C">
            <w:pPr>
              <w:spacing w:line="360" w:lineRule="auto"/>
              <w:rPr>
                <w:rFonts w:asciiTheme="majorBidi" w:hAnsiTheme="majorBidi" w:cstheme="majorBidi"/>
                <w:b/>
                <w:bCs/>
                <w:szCs w:val="24"/>
                <w:lang w:val="en-US"/>
              </w:rPr>
            </w:pPr>
            <w:r w:rsidRPr="0047429E">
              <w:rPr>
                <w:rFonts w:asciiTheme="majorBidi" w:hAnsiTheme="majorBidi" w:cstheme="majorBidi"/>
                <w:b/>
                <w:bCs/>
                <w:szCs w:val="24"/>
                <w:lang w:val="en-US"/>
              </w:rPr>
              <w:t>Section / Table</w:t>
            </w:r>
          </w:p>
        </w:tc>
        <w:tc>
          <w:tcPr>
            <w:tcW w:w="0" w:type="auto"/>
            <w:shd w:val="clear" w:color="auto" w:fill="auto"/>
            <w:vAlign w:val="center"/>
            <w:hideMark/>
          </w:tcPr>
          <w:p w14:paraId="1BAC8F8D" w14:textId="77777777" w:rsidR="0047429E" w:rsidRPr="0047429E" w:rsidRDefault="0047429E" w:rsidP="0036128C">
            <w:pPr>
              <w:spacing w:line="360" w:lineRule="auto"/>
              <w:rPr>
                <w:rFonts w:asciiTheme="majorBidi" w:hAnsiTheme="majorBidi" w:cstheme="majorBidi"/>
                <w:b/>
                <w:bCs/>
                <w:szCs w:val="24"/>
                <w:lang w:val="en-US"/>
              </w:rPr>
            </w:pPr>
            <w:r w:rsidRPr="0047429E">
              <w:rPr>
                <w:rFonts w:asciiTheme="majorBidi" w:hAnsiTheme="majorBidi" w:cstheme="majorBidi"/>
                <w:b/>
                <w:bCs/>
                <w:szCs w:val="24"/>
                <w:lang w:val="en-US"/>
              </w:rPr>
              <w:t>Frequency</w:t>
            </w:r>
          </w:p>
        </w:tc>
        <w:tc>
          <w:tcPr>
            <w:tcW w:w="0" w:type="auto"/>
            <w:shd w:val="clear" w:color="auto" w:fill="auto"/>
            <w:vAlign w:val="center"/>
            <w:hideMark/>
          </w:tcPr>
          <w:p w14:paraId="460BDB7B" w14:textId="77777777" w:rsidR="0047429E" w:rsidRPr="0047429E" w:rsidRDefault="0047429E" w:rsidP="0036128C">
            <w:pPr>
              <w:spacing w:line="360" w:lineRule="auto"/>
              <w:rPr>
                <w:rFonts w:asciiTheme="majorBidi" w:hAnsiTheme="majorBidi" w:cstheme="majorBidi"/>
                <w:b/>
                <w:bCs/>
                <w:szCs w:val="24"/>
                <w:lang w:val="en-US"/>
              </w:rPr>
            </w:pPr>
            <w:r w:rsidRPr="0047429E">
              <w:rPr>
                <w:rFonts w:asciiTheme="majorBidi" w:hAnsiTheme="majorBidi" w:cstheme="majorBidi"/>
                <w:b/>
                <w:bCs/>
                <w:szCs w:val="24"/>
                <w:lang w:val="en-US"/>
              </w:rPr>
              <w:t>Coverage in Thesis</w:t>
            </w:r>
          </w:p>
        </w:tc>
      </w:tr>
      <w:tr w:rsidR="0047429E" w:rsidRPr="0047429E" w14:paraId="28321FCA" w14:textId="77777777" w:rsidTr="0047429E">
        <w:trPr>
          <w:tblCellSpacing w:w="15" w:type="dxa"/>
        </w:trPr>
        <w:tc>
          <w:tcPr>
            <w:tcW w:w="0" w:type="auto"/>
            <w:shd w:val="clear" w:color="auto" w:fill="auto"/>
            <w:vAlign w:val="center"/>
            <w:hideMark/>
          </w:tcPr>
          <w:p w14:paraId="3DADB28D"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Nominal Exchange Rate (USD/INR)</w:t>
            </w:r>
          </w:p>
        </w:tc>
        <w:tc>
          <w:tcPr>
            <w:tcW w:w="0" w:type="auto"/>
            <w:shd w:val="clear" w:color="auto" w:fill="auto"/>
            <w:vAlign w:val="center"/>
            <w:hideMark/>
          </w:tcPr>
          <w:p w14:paraId="4BA7AFA0"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Database on Indian Economy → </w:t>
            </w:r>
            <w:r w:rsidRPr="00A253E4">
              <w:rPr>
                <w:rFonts w:asciiTheme="majorBidi" w:hAnsiTheme="majorBidi" w:cstheme="majorBidi"/>
                <w:i/>
                <w:iCs/>
                <w:szCs w:val="24"/>
                <w:lang w:val="en-US"/>
              </w:rPr>
              <w:t>Statistics</w:t>
            </w:r>
          </w:p>
        </w:tc>
        <w:tc>
          <w:tcPr>
            <w:tcW w:w="0" w:type="auto"/>
            <w:shd w:val="clear" w:color="auto" w:fill="auto"/>
            <w:vAlign w:val="center"/>
            <w:hideMark/>
          </w:tcPr>
          <w:p w14:paraId="7B09763F"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i/>
                <w:iCs/>
                <w:szCs w:val="24"/>
                <w:lang w:val="en-US"/>
              </w:rPr>
              <w:t>Exchange Rates</w:t>
            </w:r>
            <w:r w:rsidRPr="00A253E4">
              <w:rPr>
                <w:rFonts w:asciiTheme="majorBidi" w:hAnsiTheme="majorBidi" w:cstheme="majorBidi"/>
                <w:szCs w:val="24"/>
                <w:lang w:val="en-US"/>
              </w:rPr>
              <w:t> → Daily Reference Rates</w:t>
            </w:r>
          </w:p>
        </w:tc>
        <w:tc>
          <w:tcPr>
            <w:tcW w:w="0" w:type="auto"/>
            <w:shd w:val="clear" w:color="auto" w:fill="auto"/>
            <w:vAlign w:val="center"/>
            <w:hideMark/>
          </w:tcPr>
          <w:p w14:paraId="350A4905"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Fortnightly averages (aggregated from daily values)</w:t>
            </w:r>
          </w:p>
        </w:tc>
        <w:tc>
          <w:tcPr>
            <w:tcW w:w="0" w:type="auto"/>
            <w:shd w:val="clear" w:color="auto" w:fill="auto"/>
            <w:vAlign w:val="center"/>
            <w:hideMark/>
          </w:tcPr>
          <w:p w14:paraId="66A02180"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Jan 2017 – Dec 2024</w:t>
            </w:r>
          </w:p>
        </w:tc>
      </w:tr>
      <w:tr w:rsidR="0047429E" w:rsidRPr="0047429E" w14:paraId="0EDC3445" w14:textId="77777777" w:rsidTr="0047429E">
        <w:trPr>
          <w:tblCellSpacing w:w="15" w:type="dxa"/>
        </w:trPr>
        <w:tc>
          <w:tcPr>
            <w:tcW w:w="0" w:type="auto"/>
            <w:shd w:val="clear" w:color="auto" w:fill="auto"/>
            <w:vAlign w:val="center"/>
            <w:hideMark/>
          </w:tcPr>
          <w:p w14:paraId="25FA5EA1"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Private-Sector Lending (proxy)</w:t>
            </w:r>
          </w:p>
        </w:tc>
        <w:tc>
          <w:tcPr>
            <w:tcW w:w="0" w:type="auto"/>
            <w:shd w:val="clear" w:color="auto" w:fill="auto"/>
            <w:vAlign w:val="center"/>
            <w:hideMark/>
          </w:tcPr>
          <w:p w14:paraId="110CFC97"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Database on Indian Economy → </w:t>
            </w:r>
            <w:r w:rsidRPr="00A253E4">
              <w:rPr>
                <w:rFonts w:asciiTheme="majorBidi" w:hAnsiTheme="majorBidi" w:cstheme="majorBidi"/>
                <w:i/>
                <w:iCs/>
                <w:szCs w:val="24"/>
                <w:lang w:val="en-US"/>
              </w:rPr>
              <w:t>Statistics</w:t>
            </w:r>
          </w:p>
        </w:tc>
        <w:tc>
          <w:tcPr>
            <w:tcW w:w="0" w:type="auto"/>
            <w:shd w:val="clear" w:color="auto" w:fill="auto"/>
            <w:vAlign w:val="center"/>
            <w:hideMark/>
          </w:tcPr>
          <w:p w14:paraId="3A42E5E0"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i/>
                <w:iCs/>
                <w:szCs w:val="24"/>
                <w:lang w:val="en-US"/>
              </w:rPr>
              <w:t>Sectoral Deployment of Bank Credit</w:t>
            </w:r>
            <w:r w:rsidRPr="00A253E4">
              <w:rPr>
                <w:rFonts w:asciiTheme="majorBidi" w:hAnsiTheme="majorBidi" w:cstheme="majorBidi"/>
                <w:szCs w:val="24"/>
                <w:lang w:val="en-US"/>
              </w:rPr>
              <w:t> → “Non-Food Credit”</w:t>
            </w:r>
          </w:p>
        </w:tc>
        <w:tc>
          <w:tcPr>
            <w:tcW w:w="0" w:type="auto"/>
            <w:shd w:val="clear" w:color="auto" w:fill="auto"/>
            <w:vAlign w:val="center"/>
            <w:hideMark/>
          </w:tcPr>
          <w:p w14:paraId="3379A4FB"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 xml:space="preserve">Monthly (linearly interpolated </w:t>
            </w:r>
            <w:proofErr w:type="gramStart"/>
            <w:r w:rsidRPr="00A253E4">
              <w:rPr>
                <w:rFonts w:asciiTheme="majorBidi" w:hAnsiTheme="majorBidi" w:cstheme="majorBidi"/>
                <w:szCs w:val="24"/>
                <w:lang w:val="en-US"/>
              </w:rPr>
              <w:t>to</w:t>
            </w:r>
            <w:proofErr w:type="gramEnd"/>
            <w:r w:rsidRPr="00A253E4">
              <w:rPr>
                <w:rFonts w:asciiTheme="majorBidi" w:hAnsiTheme="majorBidi" w:cstheme="majorBidi"/>
                <w:szCs w:val="24"/>
                <w:lang w:val="en-US"/>
              </w:rPr>
              <w:t xml:space="preserve"> fortnightly)</w:t>
            </w:r>
          </w:p>
        </w:tc>
        <w:tc>
          <w:tcPr>
            <w:tcW w:w="0" w:type="auto"/>
            <w:shd w:val="clear" w:color="auto" w:fill="auto"/>
            <w:vAlign w:val="center"/>
            <w:hideMark/>
          </w:tcPr>
          <w:p w14:paraId="5CBB0C85" w14:textId="77777777" w:rsidR="0047429E" w:rsidRPr="00A253E4" w:rsidRDefault="0047429E" w:rsidP="0036128C">
            <w:pPr>
              <w:spacing w:line="360" w:lineRule="auto"/>
              <w:rPr>
                <w:rFonts w:asciiTheme="majorBidi" w:hAnsiTheme="majorBidi" w:cstheme="majorBidi"/>
                <w:szCs w:val="24"/>
                <w:lang w:val="en-US"/>
              </w:rPr>
            </w:pPr>
            <w:r w:rsidRPr="00A253E4">
              <w:rPr>
                <w:rFonts w:asciiTheme="majorBidi" w:hAnsiTheme="majorBidi" w:cstheme="majorBidi"/>
                <w:szCs w:val="24"/>
                <w:lang w:val="en-US"/>
              </w:rPr>
              <w:t>Jan 2017 – Dec 2024</w:t>
            </w:r>
          </w:p>
        </w:tc>
      </w:tr>
    </w:tbl>
    <w:p w14:paraId="65D02587" w14:textId="77777777" w:rsidR="0047429E" w:rsidRDefault="0047429E" w:rsidP="0036128C">
      <w:pPr>
        <w:spacing w:line="360" w:lineRule="auto"/>
        <w:rPr>
          <w:rFonts w:asciiTheme="majorBidi" w:hAnsiTheme="majorBidi" w:cstheme="majorBidi"/>
          <w:b/>
          <w:bCs/>
          <w:szCs w:val="24"/>
          <w:lang w:val="en-US"/>
        </w:rPr>
      </w:pPr>
    </w:p>
    <w:p w14:paraId="30CDE866" w14:textId="2AD5C415" w:rsidR="0047429E" w:rsidRPr="0047429E" w:rsidRDefault="0047429E" w:rsidP="0036128C">
      <w:pPr>
        <w:pStyle w:val="Heading2"/>
        <w:spacing w:line="360" w:lineRule="auto"/>
        <w:rPr>
          <w:b w:val="0"/>
          <w:lang w:val="en-US"/>
        </w:rPr>
      </w:pPr>
      <w:bookmarkStart w:id="23" w:name="_Toc200973163"/>
      <w:r w:rsidRPr="0047429E">
        <w:rPr>
          <w:lang w:val="en-US"/>
        </w:rPr>
        <w:t>3.1.1 Exchange-Rate Series</w:t>
      </w:r>
      <w:bookmarkEnd w:id="23"/>
    </w:p>
    <w:p w14:paraId="665966C5" w14:textId="77777777" w:rsidR="0047429E" w:rsidRPr="0047429E" w:rsidRDefault="0047429E" w:rsidP="0036128C">
      <w:pPr>
        <w:spacing w:line="360" w:lineRule="auto"/>
        <w:jc w:val="both"/>
        <w:rPr>
          <w:rFonts w:asciiTheme="majorBidi" w:hAnsiTheme="majorBidi" w:cstheme="majorBidi"/>
          <w:szCs w:val="24"/>
          <w:lang w:val="en-US"/>
        </w:rPr>
      </w:pPr>
      <w:r w:rsidRPr="0047429E">
        <w:rPr>
          <w:rFonts w:asciiTheme="majorBidi" w:hAnsiTheme="majorBidi" w:cstheme="majorBidi"/>
          <w:szCs w:val="24"/>
          <w:lang w:val="en-US"/>
        </w:rPr>
        <w:t>The RBI publishes a daily reference rate for the Indian rupee vis-à-vis major currencies. Daily USD/INR observations were downloaded in CSV format and aggregated into fortnightly averages to align with the study’s temporal resolution and to smooth very short-term noise.</w:t>
      </w:r>
    </w:p>
    <w:p w14:paraId="2E93C910" w14:textId="77777777" w:rsidR="00453F9A" w:rsidRDefault="00453F9A" w:rsidP="0036128C">
      <w:pPr>
        <w:pStyle w:val="Heading2"/>
        <w:spacing w:line="360" w:lineRule="auto"/>
        <w:rPr>
          <w:b w:val="0"/>
          <w:lang w:val="en-US"/>
        </w:rPr>
      </w:pPr>
    </w:p>
    <w:p w14:paraId="0EC88BFB" w14:textId="3D5CDCEA" w:rsidR="0047429E" w:rsidRPr="0047429E" w:rsidRDefault="0047429E" w:rsidP="0036128C">
      <w:pPr>
        <w:pStyle w:val="Heading2"/>
        <w:spacing w:line="360" w:lineRule="auto"/>
        <w:rPr>
          <w:b w:val="0"/>
          <w:lang w:val="en-US"/>
        </w:rPr>
      </w:pPr>
      <w:bookmarkStart w:id="24" w:name="_Toc200973164"/>
      <w:r w:rsidRPr="0047429E">
        <w:rPr>
          <w:lang w:val="en-US"/>
        </w:rPr>
        <w:t>3.1.2 Private Lending Proxy</w:t>
      </w:r>
      <w:bookmarkEnd w:id="24"/>
    </w:p>
    <w:p w14:paraId="3EAECBB0" w14:textId="5E0521F1" w:rsidR="0047429E" w:rsidRDefault="0047429E" w:rsidP="008D3A14">
      <w:pPr>
        <w:spacing w:line="360" w:lineRule="auto"/>
        <w:jc w:val="both"/>
        <w:rPr>
          <w:rFonts w:asciiTheme="majorBidi" w:hAnsiTheme="majorBidi" w:cstheme="majorBidi"/>
          <w:szCs w:val="24"/>
          <w:lang w:val="en-US"/>
        </w:rPr>
      </w:pPr>
      <w:r w:rsidRPr="0047429E">
        <w:rPr>
          <w:rFonts w:asciiTheme="majorBidi" w:hAnsiTheme="majorBidi" w:cstheme="majorBidi"/>
          <w:szCs w:val="24"/>
          <w:lang w:val="en-US"/>
        </w:rPr>
        <w:t>Unlike the exchange-rate time series, RBI does not release a stand-alone measure titled “private lending.” After an exhaustive search of the </w:t>
      </w:r>
      <w:r w:rsidRPr="0047429E">
        <w:rPr>
          <w:rFonts w:asciiTheme="majorBidi" w:hAnsiTheme="majorBidi" w:cstheme="majorBidi"/>
          <w:i/>
          <w:iCs/>
          <w:szCs w:val="24"/>
          <w:lang w:val="en-US"/>
        </w:rPr>
        <w:t>Statistics</w:t>
      </w:r>
      <w:r w:rsidRPr="0047429E">
        <w:rPr>
          <w:rFonts w:asciiTheme="majorBidi" w:hAnsiTheme="majorBidi" w:cstheme="majorBidi"/>
          <w:szCs w:val="24"/>
          <w:lang w:val="en-US"/>
        </w:rPr>
        <w:t> portal and a review of RBI Bulletins, the variable “Non-Food Credit”</w:t>
      </w:r>
      <w:r w:rsidR="00ED0E66">
        <w:rPr>
          <w:rFonts w:asciiTheme="majorBidi" w:hAnsiTheme="majorBidi" w:cstheme="majorBidi"/>
          <w:szCs w:val="24"/>
          <w:lang w:val="en-US"/>
        </w:rPr>
        <w:t xml:space="preserve"> </w:t>
      </w:r>
      <w:r w:rsidRPr="0047429E">
        <w:rPr>
          <w:rFonts w:asciiTheme="majorBidi" w:hAnsiTheme="majorBidi" w:cstheme="majorBidi"/>
          <w:szCs w:val="24"/>
          <w:lang w:val="en-US"/>
        </w:rPr>
        <w:t>found under </w:t>
      </w:r>
      <w:r w:rsidRPr="0047429E">
        <w:rPr>
          <w:rFonts w:asciiTheme="majorBidi" w:hAnsiTheme="majorBidi" w:cstheme="majorBidi"/>
          <w:i/>
          <w:iCs/>
          <w:szCs w:val="24"/>
          <w:lang w:val="en-US"/>
        </w:rPr>
        <w:t>Sectoral Deployment of Bank Credit</w:t>
      </w:r>
      <w:r w:rsidR="00ED0E66">
        <w:rPr>
          <w:rFonts w:asciiTheme="majorBidi" w:hAnsiTheme="majorBidi" w:cstheme="majorBidi"/>
          <w:szCs w:val="24"/>
          <w:lang w:val="en-US"/>
        </w:rPr>
        <w:t xml:space="preserve"> </w:t>
      </w:r>
      <w:r w:rsidRPr="0047429E">
        <w:rPr>
          <w:rFonts w:asciiTheme="majorBidi" w:hAnsiTheme="majorBidi" w:cstheme="majorBidi"/>
          <w:szCs w:val="24"/>
          <w:lang w:val="en-US"/>
        </w:rPr>
        <w:t>was identified as the best proxy. This series captures all commercial bank credit disbursed to sectors other than the Food Corporation of India and related public procurement agencies, thereby reflecting credit allocated to households and private firms. Monthly observations were:</w:t>
      </w:r>
    </w:p>
    <w:p w14:paraId="7E350C7E" w14:textId="77777777" w:rsidR="0036128C" w:rsidRDefault="0036128C" w:rsidP="0036128C">
      <w:pPr>
        <w:spacing w:line="360" w:lineRule="auto"/>
        <w:rPr>
          <w:rFonts w:asciiTheme="majorBidi" w:hAnsiTheme="majorBidi" w:cstheme="majorBidi"/>
          <w:szCs w:val="24"/>
          <w:lang w:val="en-US"/>
        </w:rPr>
      </w:pPr>
    </w:p>
    <w:p w14:paraId="0FDA231F" w14:textId="77777777" w:rsidR="008D3A14" w:rsidRPr="0047429E" w:rsidRDefault="008D3A14" w:rsidP="0036128C">
      <w:pPr>
        <w:spacing w:line="360" w:lineRule="auto"/>
        <w:rPr>
          <w:rFonts w:asciiTheme="majorBidi" w:hAnsiTheme="majorBidi" w:cstheme="majorBidi"/>
          <w:szCs w:val="24"/>
          <w:lang w:val="en-US"/>
        </w:rPr>
      </w:pPr>
    </w:p>
    <w:p w14:paraId="52C8FEEB" w14:textId="77777777" w:rsidR="0047429E" w:rsidRPr="0047429E" w:rsidRDefault="0047429E" w:rsidP="0036128C">
      <w:pPr>
        <w:numPr>
          <w:ilvl w:val="0"/>
          <w:numId w:val="36"/>
        </w:numPr>
        <w:spacing w:line="360" w:lineRule="auto"/>
        <w:rPr>
          <w:rFonts w:asciiTheme="majorBidi" w:hAnsiTheme="majorBidi" w:cstheme="majorBidi"/>
          <w:szCs w:val="24"/>
          <w:lang w:val="en-US"/>
        </w:rPr>
      </w:pPr>
      <w:r w:rsidRPr="0047429E">
        <w:rPr>
          <w:rFonts w:asciiTheme="majorBidi" w:hAnsiTheme="majorBidi" w:cstheme="majorBidi"/>
          <w:szCs w:val="24"/>
          <w:lang w:val="en-US"/>
        </w:rPr>
        <w:lastRenderedPageBreak/>
        <w:t>Downloaded in Excel format.</w:t>
      </w:r>
    </w:p>
    <w:p w14:paraId="03E8715D" w14:textId="5397201C" w:rsidR="0047429E" w:rsidRPr="0047429E" w:rsidRDefault="0047429E" w:rsidP="0036128C">
      <w:pPr>
        <w:numPr>
          <w:ilvl w:val="0"/>
          <w:numId w:val="36"/>
        </w:numPr>
        <w:spacing w:line="360" w:lineRule="auto"/>
        <w:rPr>
          <w:rFonts w:asciiTheme="majorBidi" w:hAnsiTheme="majorBidi" w:cstheme="majorBidi"/>
          <w:szCs w:val="24"/>
          <w:lang w:val="en-US"/>
        </w:rPr>
      </w:pPr>
      <w:r w:rsidRPr="0047429E">
        <w:rPr>
          <w:rFonts w:asciiTheme="majorBidi" w:hAnsiTheme="majorBidi" w:cstheme="majorBidi"/>
          <w:szCs w:val="24"/>
          <w:lang w:val="en-US"/>
        </w:rPr>
        <w:t xml:space="preserve">Converted to Indian-rupee </w:t>
      </w:r>
      <w:r w:rsidR="008F02A5">
        <w:rPr>
          <w:rFonts w:asciiTheme="majorBidi" w:hAnsiTheme="majorBidi" w:cstheme="majorBidi"/>
          <w:szCs w:val="24"/>
          <w:lang w:val="en-US"/>
        </w:rPr>
        <w:t xml:space="preserve">crores </w:t>
      </w:r>
      <w:r w:rsidRPr="0047429E">
        <w:rPr>
          <w:rFonts w:asciiTheme="majorBidi" w:hAnsiTheme="majorBidi" w:cstheme="majorBidi"/>
          <w:szCs w:val="24"/>
          <w:lang w:val="en-US"/>
        </w:rPr>
        <w:t>for consistency.</w:t>
      </w:r>
    </w:p>
    <w:p w14:paraId="61D435FD" w14:textId="26BAC1E6" w:rsidR="004B5321" w:rsidRPr="0036128C" w:rsidRDefault="0047429E" w:rsidP="0036128C">
      <w:pPr>
        <w:numPr>
          <w:ilvl w:val="0"/>
          <w:numId w:val="36"/>
        </w:numPr>
        <w:spacing w:line="360" w:lineRule="auto"/>
        <w:rPr>
          <w:rFonts w:asciiTheme="majorBidi" w:hAnsiTheme="majorBidi" w:cstheme="majorBidi"/>
          <w:szCs w:val="24"/>
          <w:lang w:val="en-US"/>
        </w:rPr>
      </w:pPr>
      <w:r w:rsidRPr="0047429E">
        <w:rPr>
          <w:rFonts w:asciiTheme="majorBidi" w:hAnsiTheme="majorBidi" w:cstheme="majorBidi"/>
          <w:szCs w:val="24"/>
          <w:lang w:val="en-US"/>
        </w:rPr>
        <w:t>Interpolated (cubic spline) to produce a fortnightly sequence, matching the exchange-rate calendar.</w:t>
      </w:r>
    </w:p>
    <w:p w14:paraId="64EC401D" w14:textId="7533DDE3" w:rsidR="0047429E" w:rsidRPr="0047429E" w:rsidRDefault="0047429E" w:rsidP="0036128C">
      <w:pPr>
        <w:pStyle w:val="Heading2"/>
        <w:spacing w:line="360" w:lineRule="auto"/>
        <w:rPr>
          <w:b w:val="0"/>
          <w:lang w:val="en-US"/>
        </w:rPr>
      </w:pPr>
      <w:bookmarkStart w:id="25" w:name="_Toc200973165"/>
      <w:r w:rsidRPr="0047429E">
        <w:rPr>
          <w:lang w:val="en-US"/>
        </w:rPr>
        <w:t>3.1.3 Data Integrity Checks</w:t>
      </w:r>
      <w:bookmarkEnd w:id="25"/>
    </w:p>
    <w:p w14:paraId="185C0036" w14:textId="000902FF" w:rsidR="00497757" w:rsidRPr="00497757" w:rsidRDefault="00497757" w:rsidP="0036128C">
      <w:pPr>
        <w:spacing w:line="360" w:lineRule="auto"/>
        <w:jc w:val="both"/>
        <w:rPr>
          <w:rFonts w:asciiTheme="majorBidi" w:hAnsiTheme="majorBidi" w:cstheme="majorBidi"/>
          <w:szCs w:val="24"/>
          <w:lang w:val="en-US"/>
        </w:rPr>
      </w:pPr>
      <w:r w:rsidRPr="00497757">
        <w:rPr>
          <w:rFonts w:asciiTheme="majorBidi" w:hAnsiTheme="majorBidi" w:cstheme="majorBidi"/>
          <w:szCs w:val="24"/>
          <w:lang w:val="en-US"/>
        </w:rPr>
        <w:t>To keep the data clean and reliable, a few careful steps were taken before any analysis began. First, all spot values were double-checked against the RBI’s Weekly Statistical Supplement to catch any errors that might’ve crept in during data entry. When there were missing exchange rate values</w:t>
      </w:r>
      <w:r w:rsidR="004C39EB">
        <w:rPr>
          <w:rFonts w:asciiTheme="majorBidi" w:hAnsiTheme="majorBidi" w:cstheme="majorBidi"/>
          <w:szCs w:val="24"/>
          <w:lang w:val="en-US"/>
        </w:rPr>
        <w:t xml:space="preserve"> </w:t>
      </w:r>
      <w:r w:rsidRPr="00497757">
        <w:rPr>
          <w:rFonts w:asciiTheme="majorBidi" w:hAnsiTheme="majorBidi" w:cstheme="majorBidi"/>
          <w:szCs w:val="24"/>
          <w:lang w:val="en-US"/>
        </w:rPr>
        <w:t>usually because of holidays</w:t>
      </w:r>
      <w:r w:rsidR="004C39EB">
        <w:rPr>
          <w:rFonts w:asciiTheme="majorBidi" w:hAnsiTheme="majorBidi" w:cstheme="majorBidi"/>
          <w:szCs w:val="24"/>
          <w:lang w:val="en-US"/>
        </w:rPr>
        <w:t xml:space="preserve"> </w:t>
      </w:r>
      <w:r w:rsidRPr="00497757">
        <w:rPr>
          <w:rFonts w:asciiTheme="majorBidi" w:hAnsiTheme="majorBidi" w:cstheme="majorBidi"/>
          <w:szCs w:val="24"/>
          <w:lang w:val="en-US"/>
        </w:rPr>
        <w:t>those gaps were filled in using two-sided linear interpolation, which basically means estimating the missing number by looking at the values just before and after it.</w:t>
      </w:r>
    </w:p>
    <w:p w14:paraId="1C80DF40" w14:textId="77777777" w:rsidR="00497757" w:rsidRPr="00497757" w:rsidRDefault="00497757" w:rsidP="0036128C">
      <w:pPr>
        <w:spacing w:line="360" w:lineRule="auto"/>
        <w:jc w:val="both"/>
        <w:rPr>
          <w:rFonts w:asciiTheme="majorBidi" w:hAnsiTheme="majorBidi" w:cstheme="majorBidi"/>
          <w:szCs w:val="24"/>
          <w:lang w:val="en-US"/>
        </w:rPr>
      </w:pPr>
      <w:r w:rsidRPr="00497757">
        <w:rPr>
          <w:rFonts w:asciiTheme="majorBidi" w:hAnsiTheme="majorBidi" w:cstheme="majorBidi"/>
          <w:szCs w:val="24"/>
          <w:lang w:val="en-US"/>
        </w:rPr>
        <w:t>To make sure everything lined up, all the monetary figures were converted into INR crores. Since every variable came from the RBI, and both the units and timing were standardized, it helped avoid the usual data mismatches that can mess with models that are sensitive to changes in regime or behavior.</w:t>
      </w:r>
    </w:p>
    <w:p w14:paraId="1701669B" w14:textId="77777777" w:rsidR="00497757" w:rsidRPr="00497757" w:rsidRDefault="00497757" w:rsidP="0036128C">
      <w:pPr>
        <w:spacing w:line="360" w:lineRule="auto"/>
        <w:jc w:val="both"/>
        <w:rPr>
          <w:rFonts w:asciiTheme="majorBidi" w:hAnsiTheme="majorBidi" w:cstheme="majorBidi"/>
          <w:szCs w:val="24"/>
          <w:lang w:val="en-US"/>
        </w:rPr>
      </w:pPr>
      <w:r w:rsidRPr="00497757">
        <w:rPr>
          <w:rFonts w:asciiTheme="majorBidi" w:hAnsiTheme="majorBidi" w:cstheme="majorBidi"/>
          <w:szCs w:val="24"/>
          <w:lang w:val="en-US"/>
        </w:rPr>
        <w:t>The entire dataset was then shifted to a 14-day (fortnightly) timeline. This struck a good balance: it was short enough to catch shifts in trends without being so frequent that it picked up meaningless short-term noise. For the exchange rate, the USD/INR value was taken from the RBI’s daily reference rate and averaged over each 14-day period.</w:t>
      </w:r>
    </w:p>
    <w:p w14:paraId="5DB1692E" w14:textId="3ED21777" w:rsidR="00791D03" w:rsidRDefault="00497757" w:rsidP="0036128C">
      <w:pPr>
        <w:spacing w:line="360" w:lineRule="auto"/>
        <w:jc w:val="both"/>
        <w:rPr>
          <w:rFonts w:asciiTheme="majorBidi" w:hAnsiTheme="majorBidi" w:cstheme="majorBidi"/>
          <w:szCs w:val="24"/>
          <w:lang w:val="en-US"/>
        </w:rPr>
      </w:pPr>
      <w:r w:rsidRPr="00497757">
        <w:rPr>
          <w:rFonts w:asciiTheme="majorBidi" w:hAnsiTheme="majorBidi" w:cstheme="majorBidi"/>
          <w:szCs w:val="24"/>
          <w:lang w:val="en-US"/>
        </w:rPr>
        <w:t>When it came to tracking private-sector credit, the “Non-Food Credit” series was used. This data normally comes out monthly, so it was smoothly adjusted to the same 14-day schedule using cubic splines to create a consistent flow. In the end, the dataset covers everything from October 13, 2017, to May 2, 2025, giving a total of 198 observations</w:t>
      </w:r>
      <w:r w:rsidR="004C39EB">
        <w:rPr>
          <w:rFonts w:asciiTheme="majorBidi" w:hAnsiTheme="majorBidi" w:cstheme="majorBidi"/>
          <w:szCs w:val="24"/>
          <w:lang w:val="en-US"/>
        </w:rPr>
        <w:t xml:space="preserve"> </w:t>
      </w:r>
      <w:r w:rsidRPr="00497757">
        <w:rPr>
          <w:rFonts w:asciiTheme="majorBidi" w:hAnsiTheme="majorBidi" w:cstheme="majorBidi"/>
          <w:szCs w:val="24"/>
          <w:lang w:val="en-US"/>
        </w:rPr>
        <w:t>plenty to work with for deeper analysis.</w:t>
      </w:r>
    </w:p>
    <w:p w14:paraId="19B6AADF" w14:textId="257CF906" w:rsidR="0036128C" w:rsidRDefault="0036128C" w:rsidP="0036128C">
      <w:pPr>
        <w:spacing w:line="360" w:lineRule="auto"/>
        <w:rPr>
          <w:rFonts w:asciiTheme="majorBidi" w:hAnsiTheme="majorBidi" w:cstheme="majorBidi"/>
          <w:szCs w:val="24"/>
          <w:lang w:val="en-US"/>
        </w:rPr>
      </w:pPr>
      <w:r>
        <w:rPr>
          <w:rFonts w:asciiTheme="majorBidi" w:hAnsiTheme="majorBidi" w:cstheme="majorBidi"/>
          <w:szCs w:val="24"/>
          <w:lang w:val="en-US"/>
        </w:rPr>
        <w:br w:type="page"/>
      </w:r>
    </w:p>
    <w:p w14:paraId="466A2E5A" w14:textId="77777777" w:rsidR="0036128C" w:rsidRPr="0036128C" w:rsidRDefault="0036128C" w:rsidP="0036128C">
      <w:pPr>
        <w:spacing w:line="360" w:lineRule="auto"/>
        <w:jc w:val="both"/>
        <w:rPr>
          <w:rFonts w:asciiTheme="majorBidi" w:hAnsiTheme="majorBidi" w:cstheme="majorBidi"/>
          <w:szCs w:val="24"/>
          <w:lang w:val="en-US"/>
        </w:rPr>
      </w:pPr>
    </w:p>
    <w:p w14:paraId="7630F6FB" w14:textId="7D63A8F4" w:rsidR="008F02A5" w:rsidRDefault="008F02A5" w:rsidP="0036128C">
      <w:pPr>
        <w:pStyle w:val="Heading2"/>
        <w:spacing w:line="360" w:lineRule="auto"/>
        <w:rPr>
          <w:lang w:val="en-US"/>
        </w:rPr>
      </w:pPr>
      <w:bookmarkStart w:id="26" w:name="_Toc200973166"/>
      <w:r w:rsidRPr="008F02A5">
        <w:rPr>
          <w:lang w:val="en-US"/>
        </w:rPr>
        <w:t>3.2 Pre-estimation Diagnostics</w:t>
      </w:r>
      <w:bookmarkEnd w:id="26"/>
    </w:p>
    <w:p w14:paraId="18AD636A" w14:textId="4ECB8EC8" w:rsidR="004B5321" w:rsidRPr="004B5321" w:rsidRDefault="004B5321" w:rsidP="0036128C">
      <w:pPr>
        <w:spacing w:line="360" w:lineRule="auto"/>
        <w:rPr>
          <w:sz w:val="2"/>
          <w:szCs w:val="2"/>
          <w:lang w:val="en-US"/>
        </w:rPr>
      </w:pPr>
      <w:r w:rsidRPr="004B5321">
        <w:rPr>
          <w:sz w:val="2"/>
          <w:szCs w:val="2"/>
          <w:lang w:val="en-US"/>
        </w:rPr>
        <w:t>.</w:t>
      </w:r>
    </w:p>
    <w:p w14:paraId="50AD70A7" w14:textId="77777777" w:rsidR="00497757" w:rsidRDefault="008F02A5" w:rsidP="0036128C">
      <w:pPr>
        <w:numPr>
          <w:ilvl w:val="0"/>
          <w:numId w:val="38"/>
        </w:numPr>
        <w:spacing w:line="360" w:lineRule="auto"/>
        <w:jc w:val="both"/>
        <w:rPr>
          <w:rFonts w:asciiTheme="majorBidi" w:hAnsiTheme="majorBidi" w:cstheme="majorBidi"/>
          <w:szCs w:val="24"/>
          <w:lang w:val="en-US"/>
        </w:rPr>
      </w:pPr>
      <w:r w:rsidRPr="008F02A5">
        <w:rPr>
          <w:rFonts w:asciiTheme="majorBidi" w:hAnsiTheme="majorBidi" w:cstheme="majorBidi"/>
          <w:b/>
          <w:bCs/>
          <w:szCs w:val="24"/>
          <w:lang w:val="en-US"/>
        </w:rPr>
        <w:t xml:space="preserve">Unit-root </w:t>
      </w:r>
      <w:proofErr w:type="gramStart"/>
      <w:r w:rsidRPr="008F02A5">
        <w:rPr>
          <w:rFonts w:asciiTheme="majorBidi" w:hAnsiTheme="majorBidi" w:cstheme="majorBidi"/>
          <w:b/>
          <w:bCs/>
          <w:szCs w:val="24"/>
          <w:lang w:val="en-US"/>
        </w:rPr>
        <w:t>testing</w:t>
      </w:r>
      <w:r w:rsidRPr="008F02A5">
        <w:rPr>
          <w:rFonts w:asciiTheme="majorBidi" w:hAnsiTheme="majorBidi" w:cstheme="majorBidi"/>
          <w:szCs w:val="24"/>
          <w:lang w:val="en-US"/>
        </w:rPr>
        <w:t> .</w:t>
      </w:r>
      <w:proofErr w:type="gramEnd"/>
    </w:p>
    <w:p w14:paraId="699D954E" w14:textId="28C7A6B0" w:rsidR="0050701C" w:rsidRDefault="008F02A5" w:rsidP="0036128C">
      <w:pPr>
        <w:spacing w:line="360" w:lineRule="auto"/>
        <w:ind w:left="2340"/>
        <w:jc w:val="both"/>
        <w:rPr>
          <w:rFonts w:asciiTheme="majorBidi" w:hAnsiTheme="majorBidi" w:cstheme="majorBidi"/>
          <w:szCs w:val="24"/>
          <w:lang w:val="en-US"/>
        </w:rPr>
      </w:pPr>
      <w:r w:rsidRPr="008F02A5">
        <w:rPr>
          <w:rFonts w:asciiTheme="majorBidi" w:hAnsiTheme="majorBidi" w:cstheme="majorBidi"/>
          <w:szCs w:val="24"/>
          <w:lang w:val="en-US"/>
        </w:rPr>
        <w:br/>
      </w:r>
      <w:r w:rsidRPr="008F02A5">
        <w:rPr>
          <w:rFonts w:asciiTheme="majorBidi" w:hAnsiTheme="majorBidi" w:cstheme="majorBidi"/>
          <w:b/>
          <w:bCs/>
          <w:i/>
          <w:iCs/>
          <w:szCs w:val="24"/>
          <w:lang w:val="en-US"/>
        </w:rPr>
        <w:t>Null H0</w:t>
      </w:r>
      <w:r w:rsidRPr="008F02A5">
        <w:rPr>
          <w:rFonts w:asciiTheme="majorBidi" w:hAnsiTheme="majorBidi" w:cstheme="majorBidi"/>
          <w:b/>
          <w:bCs/>
          <w:szCs w:val="24"/>
          <w:lang w:val="en-US"/>
        </w:rPr>
        <w:t>:</w:t>
      </w:r>
      <w:r w:rsidRPr="008F02A5">
        <w:rPr>
          <w:rFonts w:asciiTheme="majorBidi" w:hAnsiTheme="majorBidi" w:cstheme="majorBidi"/>
          <w:szCs w:val="24"/>
          <w:lang w:val="en-US"/>
        </w:rPr>
        <w:t xml:space="preserve"> “ser</w:t>
      </w:r>
      <w:r w:rsidR="00497757">
        <w:rPr>
          <w:rFonts w:asciiTheme="majorBidi" w:hAnsiTheme="majorBidi" w:cstheme="majorBidi"/>
          <w:szCs w:val="24"/>
          <w:lang w:val="en-US"/>
        </w:rPr>
        <w:t>i</w:t>
      </w:r>
      <w:r w:rsidRPr="008F02A5">
        <w:rPr>
          <w:rFonts w:asciiTheme="majorBidi" w:hAnsiTheme="majorBidi" w:cstheme="majorBidi"/>
          <w:szCs w:val="24"/>
          <w:lang w:val="en-US"/>
        </w:rPr>
        <w:t>es is non-stationary.</w:t>
      </w:r>
      <w:r w:rsidR="001612C7">
        <w:rPr>
          <w:rFonts w:asciiTheme="majorBidi" w:hAnsiTheme="majorBidi" w:cstheme="majorBidi"/>
          <w:szCs w:val="24"/>
          <w:lang w:val="en-US"/>
        </w:rPr>
        <w:t xml:space="preserve">”  </w:t>
      </w:r>
    </w:p>
    <w:p w14:paraId="4CB6DF70" w14:textId="4522B95C" w:rsidR="001612C7" w:rsidRPr="0050701C" w:rsidRDefault="0050701C" w:rsidP="0036128C">
      <w:pPr>
        <w:spacing w:line="360" w:lineRule="auto"/>
        <w:ind w:left="2340"/>
        <w:jc w:val="both"/>
        <w:rPr>
          <w:rFonts w:asciiTheme="majorBidi" w:hAnsiTheme="majorBidi" w:cstheme="majorBidi"/>
          <w:szCs w:val="24"/>
          <w:lang w:val="en-US"/>
        </w:rPr>
      </w:pPr>
      <w:r w:rsidRPr="0050701C">
        <w:rPr>
          <w:rFonts w:asciiTheme="majorBidi" w:hAnsiTheme="majorBidi" w:cstheme="majorBidi"/>
          <w:b/>
          <w:bCs/>
          <w:szCs w:val="24"/>
          <w:lang w:val="en-US"/>
        </w:rPr>
        <w:t xml:space="preserve">Alt </w:t>
      </w:r>
      <w:r w:rsidR="001612C7" w:rsidRPr="0050701C">
        <w:rPr>
          <w:rFonts w:asciiTheme="majorBidi" w:hAnsiTheme="majorBidi" w:cstheme="majorBidi"/>
          <w:b/>
          <w:bCs/>
          <w:i/>
          <w:iCs/>
          <w:szCs w:val="24"/>
          <w:lang w:val="en-US"/>
        </w:rPr>
        <w:t>H</w:t>
      </w:r>
      <w:proofErr w:type="gramStart"/>
      <w:r w:rsidR="001612C7" w:rsidRPr="0050701C">
        <w:rPr>
          <w:rFonts w:asciiTheme="majorBidi" w:hAnsiTheme="majorBidi" w:cstheme="majorBidi"/>
          <w:b/>
          <w:bCs/>
          <w:i/>
          <w:iCs/>
          <w:szCs w:val="24"/>
          <w:lang w:val="en-US"/>
        </w:rPr>
        <w:t>1</w:t>
      </w:r>
      <w:r w:rsidR="001612C7">
        <w:rPr>
          <w:rFonts w:asciiTheme="majorBidi" w:hAnsiTheme="majorBidi" w:cstheme="majorBidi"/>
          <w:i/>
          <w:iCs/>
          <w:szCs w:val="24"/>
          <w:lang w:val="en-US"/>
        </w:rPr>
        <w:t xml:space="preserve"> :</w:t>
      </w:r>
      <w:proofErr w:type="gramEnd"/>
      <w:r w:rsidR="001612C7">
        <w:rPr>
          <w:rFonts w:asciiTheme="majorBidi" w:hAnsiTheme="majorBidi" w:cstheme="majorBidi"/>
          <w:i/>
          <w:iCs/>
          <w:szCs w:val="24"/>
          <w:lang w:val="en-US"/>
        </w:rPr>
        <w:t xml:space="preserve"> “series is stationary “</w:t>
      </w:r>
    </w:p>
    <w:p w14:paraId="4F7FF88A" w14:textId="255931D8"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i/>
          <w:iCs/>
          <w:szCs w:val="24"/>
          <w:lang w:val="en-US"/>
        </w:rPr>
        <w:t>Tests</w:t>
      </w:r>
      <w:r w:rsidRPr="008F02A5">
        <w:rPr>
          <w:rFonts w:asciiTheme="majorBidi" w:hAnsiTheme="majorBidi" w:cstheme="majorBidi"/>
          <w:szCs w:val="24"/>
          <w:lang w:val="en-US"/>
        </w:rPr>
        <w:t>: Augmented Dickey–Fuller (ADF) and KPSS with automatic lag length.</w:t>
      </w:r>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1394"/>
        <w:gridCol w:w="1501"/>
        <w:gridCol w:w="3384"/>
      </w:tblGrid>
      <w:tr w:rsidR="008F02A5" w:rsidRPr="008F02A5" w14:paraId="3B314C95" w14:textId="77777777" w:rsidTr="00497757">
        <w:trPr>
          <w:tblHeader/>
          <w:tblCellSpacing w:w="15" w:type="dxa"/>
        </w:trPr>
        <w:tc>
          <w:tcPr>
            <w:tcW w:w="1521" w:type="dxa"/>
            <w:vAlign w:val="center"/>
            <w:hideMark/>
          </w:tcPr>
          <w:p w14:paraId="7B6E9B9F"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t>Series</w:t>
            </w:r>
          </w:p>
        </w:tc>
        <w:tc>
          <w:tcPr>
            <w:tcW w:w="0" w:type="auto"/>
            <w:vAlign w:val="center"/>
            <w:hideMark/>
          </w:tcPr>
          <w:p w14:paraId="5D552CA1"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t>ADF p-value</w:t>
            </w:r>
          </w:p>
        </w:tc>
        <w:tc>
          <w:tcPr>
            <w:tcW w:w="0" w:type="auto"/>
            <w:vAlign w:val="center"/>
            <w:hideMark/>
          </w:tcPr>
          <w:p w14:paraId="279DFEB9"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t>KPSS p-value</w:t>
            </w:r>
          </w:p>
        </w:tc>
        <w:tc>
          <w:tcPr>
            <w:tcW w:w="3339" w:type="dxa"/>
            <w:vAlign w:val="center"/>
            <w:hideMark/>
          </w:tcPr>
          <w:p w14:paraId="7341B7B3"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t>Conclusion</w:t>
            </w:r>
          </w:p>
        </w:tc>
      </w:tr>
      <w:tr w:rsidR="008F02A5" w:rsidRPr="008F02A5" w14:paraId="5465CD0D" w14:textId="77777777" w:rsidTr="00497757">
        <w:trPr>
          <w:tblCellSpacing w:w="15" w:type="dxa"/>
        </w:trPr>
        <w:tc>
          <w:tcPr>
            <w:tcW w:w="1521" w:type="dxa"/>
            <w:vAlign w:val="center"/>
            <w:hideMark/>
          </w:tcPr>
          <w:p w14:paraId="6D53C206"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log FX</w:t>
            </w:r>
          </w:p>
        </w:tc>
        <w:tc>
          <w:tcPr>
            <w:tcW w:w="0" w:type="auto"/>
            <w:vAlign w:val="center"/>
            <w:hideMark/>
          </w:tcPr>
          <w:p w14:paraId="41474E79"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0.04</w:t>
            </w:r>
          </w:p>
        </w:tc>
        <w:tc>
          <w:tcPr>
            <w:tcW w:w="0" w:type="auto"/>
            <w:vAlign w:val="center"/>
            <w:hideMark/>
          </w:tcPr>
          <w:p w14:paraId="679A602E"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0.09</w:t>
            </w:r>
          </w:p>
        </w:tc>
        <w:tc>
          <w:tcPr>
            <w:tcW w:w="3339" w:type="dxa"/>
            <w:vAlign w:val="center"/>
            <w:hideMark/>
          </w:tcPr>
          <w:p w14:paraId="2868B7F4"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 xml:space="preserve">Reject H0; treat as </w:t>
            </w:r>
            <w:proofErr w:type="gramStart"/>
            <w:r w:rsidRPr="008F02A5">
              <w:rPr>
                <w:rFonts w:asciiTheme="majorBidi" w:hAnsiTheme="majorBidi" w:cstheme="majorBidi"/>
                <w:szCs w:val="24"/>
                <w:lang w:val="en-US"/>
              </w:rPr>
              <w:t>I(</w:t>
            </w:r>
            <w:proofErr w:type="gramEnd"/>
            <w:r w:rsidRPr="008F02A5">
              <w:rPr>
                <w:rFonts w:asciiTheme="majorBidi" w:hAnsiTheme="majorBidi" w:cstheme="majorBidi"/>
                <w:szCs w:val="24"/>
                <w:lang w:val="en-US"/>
              </w:rPr>
              <w:t>0).</w:t>
            </w:r>
          </w:p>
        </w:tc>
      </w:tr>
      <w:tr w:rsidR="008F02A5" w:rsidRPr="008F02A5" w14:paraId="56988860" w14:textId="77777777" w:rsidTr="00497757">
        <w:trPr>
          <w:tblCellSpacing w:w="15" w:type="dxa"/>
        </w:trPr>
        <w:tc>
          <w:tcPr>
            <w:tcW w:w="1521" w:type="dxa"/>
            <w:vAlign w:val="center"/>
            <w:hideMark/>
          </w:tcPr>
          <w:p w14:paraId="60785B84"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Δ log Credit</w:t>
            </w:r>
          </w:p>
        </w:tc>
        <w:tc>
          <w:tcPr>
            <w:tcW w:w="0" w:type="auto"/>
            <w:vAlign w:val="center"/>
            <w:hideMark/>
          </w:tcPr>
          <w:p w14:paraId="045BB119"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0.00</w:t>
            </w:r>
          </w:p>
        </w:tc>
        <w:tc>
          <w:tcPr>
            <w:tcW w:w="0" w:type="auto"/>
            <w:vAlign w:val="center"/>
            <w:hideMark/>
          </w:tcPr>
          <w:p w14:paraId="4CA5ACE6"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0.10</w:t>
            </w:r>
          </w:p>
        </w:tc>
        <w:tc>
          <w:tcPr>
            <w:tcW w:w="3339" w:type="dxa"/>
            <w:vAlign w:val="center"/>
            <w:hideMark/>
          </w:tcPr>
          <w:p w14:paraId="0AE6E2D4"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Stationary by construction.</w:t>
            </w:r>
          </w:p>
        </w:tc>
      </w:tr>
    </w:tbl>
    <w:p w14:paraId="1763B575" w14:textId="77777777" w:rsidR="00497757" w:rsidRDefault="00497757" w:rsidP="0036128C">
      <w:pPr>
        <w:spacing w:line="360" w:lineRule="auto"/>
        <w:ind w:left="360"/>
        <w:jc w:val="both"/>
        <w:rPr>
          <w:rFonts w:asciiTheme="majorBidi" w:hAnsiTheme="majorBidi" w:cstheme="majorBidi"/>
          <w:b/>
          <w:bCs/>
          <w:szCs w:val="24"/>
          <w:lang w:val="en-US"/>
        </w:rPr>
      </w:pPr>
    </w:p>
    <w:p w14:paraId="34B4AEE8" w14:textId="47B000EC" w:rsidR="008F02A5" w:rsidRPr="008F02A5" w:rsidRDefault="00497757" w:rsidP="0036128C">
      <w:pPr>
        <w:spacing w:line="360" w:lineRule="auto"/>
        <w:ind w:left="360"/>
        <w:jc w:val="both"/>
        <w:rPr>
          <w:rFonts w:asciiTheme="majorBidi" w:hAnsiTheme="majorBidi" w:cstheme="majorBidi"/>
          <w:szCs w:val="24"/>
          <w:lang w:val="en-US"/>
        </w:rPr>
      </w:pPr>
      <w:r>
        <w:rPr>
          <w:rFonts w:asciiTheme="majorBidi" w:hAnsiTheme="majorBidi" w:cstheme="majorBidi"/>
          <w:b/>
          <w:bCs/>
          <w:szCs w:val="24"/>
          <w:lang w:val="en-US"/>
        </w:rPr>
        <w:t>2.</w:t>
      </w:r>
      <w:r w:rsidR="008F02A5" w:rsidRPr="008F02A5">
        <w:rPr>
          <w:rFonts w:asciiTheme="majorBidi" w:hAnsiTheme="majorBidi" w:cstheme="majorBidi"/>
          <w:b/>
          <w:bCs/>
          <w:szCs w:val="24"/>
          <w:lang w:val="en-US"/>
        </w:rPr>
        <w:t>Cointegration check</w:t>
      </w:r>
      <w:r w:rsidR="008F02A5" w:rsidRPr="008F02A5">
        <w:rPr>
          <w:rFonts w:asciiTheme="majorBidi" w:hAnsiTheme="majorBidi" w:cstheme="majorBidi"/>
          <w:szCs w:val="24"/>
          <w:lang w:val="en-US"/>
        </w:rPr>
        <w:t xml:space="preserve">. A Johansen trace test (rank = 0 at 5 %) finds no cointegrating vector; </w:t>
      </w:r>
      <w:r w:rsidR="00A253E4" w:rsidRPr="008F02A5">
        <w:rPr>
          <w:rFonts w:asciiTheme="majorBidi" w:hAnsiTheme="majorBidi" w:cstheme="majorBidi"/>
          <w:szCs w:val="24"/>
          <w:lang w:val="en-US"/>
        </w:rPr>
        <w:t>therefore,</w:t>
      </w:r>
      <w:r w:rsidR="008F02A5" w:rsidRPr="008F02A5">
        <w:rPr>
          <w:rFonts w:asciiTheme="majorBidi" w:hAnsiTheme="majorBidi" w:cstheme="majorBidi"/>
          <w:szCs w:val="24"/>
          <w:lang w:val="en-US"/>
        </w:rPr>
        <w:t xml:space="preserve"> a </w:t>
      </w:r>
      <w:r w:rsidR="008F02A5" w:rsidRPr="008F02A5">
        <w:rPr>
          <w:rFonts w:asciiTheme="majorBidi" w:hAnsiTheme="majorBidi" w:cstheme="majorBidi"/>
          <w:i/>
          <w:iCs/>
          <w:szCs w:val="24"/>
          <w:lang w:val="en-US"/>
        </w:rPr>
        <w:t>levels VECM</w:t>
      </w:r>
      <w:r w:rsidR="008F02A5" w:rsidRPr="008F02A5">
        <w:rPr>
          <w:rFonts w:asciiTheme="majorBidi" w:hAnsiTheme="majorBidi" w:cstheme="majorBidi"/>
          <w:szCs w:val="24"/>
          <w:lang w:val="en-US"/>
        </w:rPr>
        <w:t> is unnecessary and a VAR in stationary variables is appropriate.</w:t>
      </w:r>
    </w:p>
    <w:p w14:paraId="2F6953AC" w14:textId="77777777" w:rsidR="006429A6" w:rsidRDefault="006429A6" w:rsidP="006429A6">
      <w:pPr>
        <w:pStyle w:val="Heading2"/>
        <w:spacing w:line="360" w:lineRule="auto"/>
        <w:rPr>
          <w:lang w:val="en-US"/>
        </w:rPr>
      </w:pPr>
      <w:bookmarkStart w:id="27" w:name="_Toc200973167"/>
    </w:p>
    <w:p w14:paraId="6FBA25FE" w14:textId="00289BD7" w:rsidR="006429A6" w:rsidRPr="006429A6" w:rsidRDefault="008F02A5" w:rsidP="006429A6">
      <w:pPr>
        <w:pStyle w:val="Heading2"/>
        <w:spacing w:line="360" w:lineRule="auto"/>
        <w:rPr>
          <w:lang w:val="en-US"/>
        </w:rPr>
      </w:pPr>
      <w:r w:rsidRPr="008F02A5">
        <w:rPr>
          <w:lang w:val="en-US"/>
        </w:rPr>
        <w:t>3.3 Baseline VAR Specification</w:t>
      </w:r>
      <w:bookmarkStart w:id="28" w:name="_Hlk201170506"/>
      <w:bookmarkStart w:id="29" w:name="_Hlk201171496"/>
      <w:bookmarkEnd w:id="27"/>
    </w:p>
    <w:bookmarkEnd w:id="28"/>
    <w:bookmarkEnd w:id="29"/>
    <w:p w14:paraId="4CA96A01" w14:textId="736F19FC" w:rsidR="0046006A" w:rsidRDefault="0046006A" w:rsidP="0036128C">
      <w:pPr>
        <w:spacing w:line="360" w:lineRule="auto"/>
        <w:jc w:val="both"/>
        <w:rPr>
          <w:rFonts w:asciiTheme="majorBidi" w:hAnsiTheme="majorBidi" w:cstheme="majorBidi"/>
          <w:i/>
          <w:iCs/>
          <w:szCs w:val="24"/>
          <w:lang w:val="en-US"/>
        </w:rPr>
      </w:pPr>
      <w:r>
        <w:rPr>
          <w:rFonts w:asciiTheme="majorBidi" w:hAnsiTheme="majorBidi" w:cstheme="majorBidi"/>
          <w:i/>
          <w:iCs/>
          <w:noProof/>
          <w:szCs w:val="24"/>
          <w:lang w:val="en-US"/>
        </w:rPr>
        <w:drawing>
          <wp:anchor distT="0" distB="0" distL="114300" distR="114300" simplePos="0" relativeHeight="251660288" behindDoc="0" locked="0" layoutInCell="1" allowOverlap="1" wp14:anchorId="13B3E56E" wp14:editId="12C2A523">
            <wp:simplePos x="0" y="0"/>
            <wp:positionH relativeFrom="column">
              <wp:posOffset>184449</wp:posOffset>
            </wp:positionH>
            <wp:positionV relativeFrom="paragraph">
              <wp:posOffset>241599</wp:posOffset>
            </wp:positionV>
            <wp:extent cx="4123764" cy="740594"/>
            <wp:effectExtent l="0" t="0" r="3810" b="0"/>
            <wp:wrapSquare wrapText="bothSides"/>
            <wp:docPr id="767527916" name="Picture 4" descr="A close-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27916" name="Picture 4" descr="A close-up of a word&#10;&#10;Description automatically generated"/>
                    <pic:cNvPicPr/>
                  </pic:nvPicPr>
                  <pic:blipFill>
                    <a:blip r:embed="rId12">
                      <a:alphaModFix/>
                      <a:extLst>
                        <a:ext uri="{BEBA8EAE-BF5A-486C-A8C5-ECC9F3942E4B}">
                          <a14:imgProps xmlns:a14="http://schemas.microsoft.com/office/drawing/2010/main">
                            <a14:imgLayer r:embed="rId13">
                              <a14:imgEffect>
                                <a14:saturation sat="111000"/>
                              </a14:imgEffect>
                            </a14:imgLayer>
                          </a14:imgProps>
                        </a:ext>
                        <a:ext uri="{28A0092B-C50C-407E-A947-70E740481C1C}">
                          <a14:useLocalDpi xmlns:a14="http://schemas.microsoft.com/office/drawing/2010/main" val="0"/>
                        </a:ext>
                      </a:extLst>
                    </a:blip>
                    <a:stretch>
                      <a:fillRect/>
                    </a:stretch>
                  </pic:blipFill>
                  <pic:spPr>
                    <a:xfrm>
                      <a:off x="0" y="0"/>
                      <a:ext cx="4123764" cy="740594"/>
                    </a:xfrm>
                    <a:prstGeom prst="rect">
                      <a:avLst/>
                    </a:prstGeom>
                  </pic:spPr>
                </pic:pic>
              </a:graphicData>
            </a:graphic>
            <wp14:sizeRelH relativeFrom="page">
              <wp14:pctWidth>0</wp14:pctWidth>
            </wp14:sizeRelH>
            <wp14:sizeRelV relativeFrom="page">
              <wp14:pctHeight>0</wp14:pctHeight>
            </wp14:sizeRelV>
          </wp:anchor>
        </w:drawing>
      </w:r>
    </w:p>
    <w:p w14:paraId="1E5DE8DD" w14:textId="7EB150A1" w:rsidR="0046006A" w:rsidRDefault="0046006A" w:rsidP="0036128C">
      <w:pPr>
        <w:spacing w:line="360" w:lineRule="auto"/>
        <w:jc w:val="both"/>
        <w:rPr>
          <w:rFonts w:asciiTheme="majorBidi" w:hAnsiTheme="majorBidi" w:cstheme="majorBidi"/>
          <w:i/>
          <w:iCs/>
          <w:szCs w:val="24"/>
          <w:lang w:val="en-US"/>
        </w:rPr>
      </w:pPr>
    </w:p>
    <w:p w14:paraId="099E00A6" w14:textId="4ACEC777" w:rsidR="0046006A" w:rsidRDefault="0046006A" w:rsidP="0036128C">
      <w:pPr>
        <w:spacing w:line="360" w:lineRule="auto"/>
        <w:jc w:val="both"/>
        <w:rPr>
          <w:rFonts w:asciiTheme="majorBidi" w:hAnsiTheme="majorBidi" w:cstheme="majorBidi"/>
          <w:i/>
          <w:iCs/>
          <w:szCs w:val="24"/>
          <w:lang w:val="en-US"/>
        </w:rPr>
      </w:pPr>
    </w:p>
    <w:p w14:paraId="4221853A" w14:textId="70CBE7F5" w:rsidR="0046006A" w:rsidRPr="00BB2948" w:rsidRDefault="0046006A" w:rsidP="00BB2948">
      <w:pPr>
        <w:pStyle w:val="ListParagraph"/>
        <w:numPr>
          <w:ilvl w:val="0"/>
          <w:numId w:val="53"/>
        </w:numPr>
        <w:spacing w:line="360" w:lineRule="auto"/>
        <w:rPr>
          <w:rFonts w:asciiTheme="majorBidi" w:hAnsiTheme="majorBidi" w:cstheme="majorBidi"/>
          <w:i/>
          <w:iCs/>
          <w:szCs w:val="24"/>
          <w:lang w:val="en-US"/>
        </w:rPr>
      </w:pPr>
      <w:r w:rsidRPr="00BB2948">
        <w:rPr>
          <w:rFonts w:asciiTheme="majorBidi" w:hAnsiTheme="majorBidi" w:cstheme="majorBidi"/>
          <w:i/>
          <w:iCs/>
          <w:szCs w:val="24"/>
          <w:lang w:val="en-US"/>
        </w:rPr>
        <w:t>FX = nominal exchange rate (USD/INR)</w:t>
      </w:r>
    </w:p>
    <w:p w14:paraId="1B00D64B" w14:textId="598E86C8" w:rsidR="0046006A" w:rsidRPr="00BB2948" w:rsidRDefault="0046006A" w:rsidP="00BB2948">
      <w:pPr>
        <w:pStyle w:val="ListParagraph"/>
        <w:numPr>
          <w:ilvl w:val="0"/>
          <w:numId w:val="53"/>
        </w:numPr>
        <w:spacing w:line="360" w:lineRule="auto"/>
        <w:rPr>
          <w:rFonts w:asciiTheme="majorBidi" w:hAnsiTheme="majorBidi" w:cstheme="majorBidi"/>
          <w:i/>
          <w:iCs/>
          <w:szCs w:val="24"/>
          <w:lang w:val="en-US"/>
        </w:rPr>
      </w:pPr>
      <w:r w:rsidRPr="00BB2948">
        <w:rPr>
          <w:rFonts w:asciiTheme="majorBidi" w:hAnsiTheme="majorBidi" w:cstheme="majorBidi"/>
          <w:i/>
          <w:iCs/>
          <w:szCs w:val="24"/>
          <w:lang w:val="en-US"/>
        </w:rPr>
        <w:t>Credit = private sector lending (non-food credit proxy)</w:t>
      </w:r>
    </w:p>
    <w:p w14:paraId="0A29B505" w14:textId="4BD58C55" w:rsidR="0046006A" w:rsidRPr="00BB2948" w:rsidRDefault="00000000" w:rsidP="00BB2948">
      <w:pPr>
        <w:pStyle w:val="ListParagraph"/>
        <w:numPr>
          <w:ilvl w:val="0"/>
          <w:numId w:val="53"/>
        </w:numPr>
        <w:spacing w:line="360" w:lineRule="auto"/>
        <w:rPr>
          <w:rFonts w:asciiTheme="majorBidi" w:eastAsiaTheme="minorEastAsia" w:hAnsiTheme="majorBidi" w:cstheme="majorBidi"/>
          <w:i/>
          <w:iCs/>
          <w:szCs w:val="24"/>
          <w:lang w:val="en-US"/>
        </w:rPr>
      </w:pPr>
      <m:oMath>
        <m:sSub>
          <m:sSubPr>
            <m:ctrlPr>
              <w:rPr>
                <w:rFonts w:ascii="Cambria Math" w:hAnsi="Cambria Math" w:cstheme="majorBidi"/>
                <w:i/>
                <w:iCs/>
                <w:szCs w:val="24"/>
                <w:lang w:val="en-US"/>
              </w:rPr>
            </m:ctrlPr>
          </m:sSubPr>
          <m:e>
            <m:r>
              <w:rPr>
                <w:rFonts w:ascii="Cambria Math" w:hAnsi="Cambria Math" w:cstheme="majorBidi"/>
                <w:szCs w:val="24"/>
                <w:lang w:val="en-US"/>
              </w:rPr>
              <m:t>A</m:t>
            </m:r>
          </m:e>
          <m:sub>
            <m:r>
              <m:rPr>
                <m:sty m:val="p"/>
              </m:rPr>
              <w:rPr>
                <w:rFonts w:ascii="Cambria Math" w:hAnsi="Cambria Math" w:cstheme="majorBidi"/>
                <w:szCs w:val="24"/>
                <w:lang w:val="en-US"/>
              </w:rPr>
              <m:t>l</m:t>
            </m:r>
          </m:sub>
        </m:sSub>
      </m:oMath>
      <w:r w:rsidR="0046006A" w:rsidRPr="00BB2948">
        <w:rPr>
          <w:rFonts w:asciiTheme="majorBidi" w:hAnsiTheme="majorBidi" w:cstheme="majorBidi"/>
          <w:i/>
          <w:iCs/>
          <w:szCs w:val="24"/>
          <w:lang w:val="en-US"/>
        </w:rPr>
        <w:t>= lag coefficient matrices</w:t>
      </w:r>
    </w:p>
    <w:p w14:paraId="7D123603" w14:textId="5A758560" w:rsidR="0046006A" w:rsidRPr="00BB2948" w:rsidRDefault="00000000" w:rsidP="00BB2948">
      <w:pPr>
        <w:pStyle w:val="ListParagraph"/>
        <w:numPr>
          <w:ilvl w:val="0"/>
          <w:numId w:val="53"/>
        </w:numPr>
        <w:spacing w:line="360" w:lineRule="auto"/>
        <w:rPr>
          <w:rFonts w:asciiTheme="majorBidi" w:eastAsiaTheme="minorEastAsia" w:hAnsiTheme="majorBidi" w:cstheme="majorBidi"/>
          <w:i/>
          <w:iCs/>
          <w:szCs w:val="24"/>
          <w:lang w:val="en-US"/>
        </w:rPr>
      </w:pPr>
      <m:oMath>
        <m:sSub>
          <m:sSubPr>
            <m:ctrlPr>
              <w:rPr>
                <w:rFonts w:ascii="Cambria Math" w:hAnsi="Cambria Math" w:cstheme="majorBidi"/>
                <w:i/>
                <w:iCs/>
                <w:szCs w:val="24"/>
                <w:lang w:val="en-US"/>
              </w:rPr>
            </m:ctrlPr>
          </m:sSubPr>
          <m:e>
            <m:r>
              <w:rPr>
                <w:rFonts w:ascii="Cambria Math" w:hAnsi="Cambria Math" w:cstheme="majorBidi"/>
                <w:szCs w:val="24"/>
                <w:lang w:val="en-US"/>
              </w:rPr>
              <m:t>u</m:t>
            </m:r>
          </m:e>
          <m:sub>
            <m:r>
              <w:rPr>
                <w:rFonts w:ascii="Cambria Math" w:hAnsi="Cambria Math" w:cstheme="majorBidi"/>
                <w:szCs w:val="24"/>
                <w:lang w:val="en-US"/>
              </w:rPr>
              <m:t>t</m:t>
            </m:r>
          </m:sub>
        </m:sSub>
      </m:oMath>
      <w:r w:rsidR="00BB2948" w:rsidRPr="00BB2948">
        <w:rPr>
          <w:rFonts w:asciiTheme="majorBidi" w:eastAsiaTheme="minorEastAsia" w:hAnsiTheme="majorBidi" w:cstheme="majorBidi"/>
          <w:i/>
          <w:iCs/>
          <w:szCs w:val="24"/>
          <w:lang w:val="en-US"/>
        </w:rPr>
        <w:t xml:space="preserve"> </w:t>
      </w:r>
      <w:r w:rsidR="0046006A" w:rsidRPr="00BB2948">
        <w:rPr>
          <w:rFonts w:asciiTheme="majorBidi" w:hAnsiTheme="majorBidi" w:cstheme="majorBidi"/>
          <w:i/>
          <w:iCs/>
          <w:szCs w:val="24"/>
          <w:lang w:val="en-US"/>
        </w:rPr>
        <w:t> = error term</w:t>
      </w:r>
    </w:p>
    <w:p w14:paraId="6FBCC374" w14:textId="77777777" w:rsidR="00BB2948" w:rsidRPr="00BB2948" w:rsidRDefault="00BB2948" w:rsidP="00BB2948">
      <w:pPr>
        <w:pStyle w:val="ListParagraph"/>
        <w:spacing w:line="360" w:lineRule="auto"/>
        <w:rPr>
          <w:rFonts w:asciiTheme="majorBidi" w:eastAsiaTheme="minorEastAsia" w:hAnsiTheme="majorBidi" w:cstheme="majorBidi"/>
          <w:i/>
          <w:iCs/>
          <w:szCs w:val="24"/>
          <w:lang w:val="en-US"/>
        </w:rPr>
      </w:pPr>
    </w:p>
    <w:p w14:paraId="3E553578" w14:textId="77777777" w:rsidR="0046006A" w:rsidRDefault="0046006A" w:rsidP="0036128C">
      <w:pPr>
        <w:spacing w:line="360" w:lineRule="auto"/>
        <w:jc w:val="both"/>
        <w:rPr>
          <w:rFonts w:asciiTheme="majorBidi" w:hAnsiTheme="majorBidi" w:cstheme="majorBidi"/>
          <w:i/>
          <w:iCs/>
          <w:szCs w:val="24"/>
          <w:lang w:val="en-US"/>
        </w:rPr>
      </w:pPr>
    </w:p>
    <w:p w14:paraId="75E6D348" w14:textId="06ECFCC3"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i/>
          <w:iCs/>
          <w:szCs w:val="24"/>
          <w:lang w:val="en-US"/>
        </w:rPr>
        <w:t>Lag order (p).</w:t>
      </w:r>
      <w:r w:rsidRPr="008F02A5">
        <w:rPr>
          <w:rFonts w:asciiTheme="majorBidi" w:hAnsiTheme="majorBidi" w:cstheme="majorBidi"/>
          <w:szCs w:val="24"/>
          <w:lang w:val="en-US"/>
        </w:rPr>
        <w:t> </w:t>
      </w:r>
      <w:proofErr w:type="gramStart"/>
      <w:r w:rsidRPr="008F02A5">
        <w:rPr>
          <w:rFonts w:asciiTheme="majorBidi" w:hAnsiTheme="majorBidi" w:cstheme="majorBidi"/>
          <w:szCs w:val="24"/>
          <w:lang w:val="en-US"/>
        </w:rPr>
        <w:t>VAR(</w:t>
      </w:r>
      <w:proofErr w:type="gramEnd"/>
      <w:r w:rsidRPr="008F02A5">
        <w:rPr>
          <w:rFonts w:asciiTheme="majorBidi" w:hAnsiTheme="majorBidi" w:cstheme="majorBidi"/>
          <w:szCs w:val="24"/>
          <w:lang w:val="en-US"/>
        </w:rPr>
        <w:t>0) versus VAR(1) were estimated:</w:t>
      </w:r>
    </w:p>
    <w:tbl>
      <w:tblPr>
        <w:tblW w:w="0" w:type="auto"/>
        <w:tblCellSpacing w:w="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2430"/>
        <w:gridCol w:w="3240"/>
      </w:tblGrid>
      <w:tr w:rsidR="008F02A5" w:rsidRPr="008F02A5" w14:paraId="5C99D804" w14:textId="77777777" w:rsidTr="00497757">
        <w:trPr>
          <w:tblHeader/>
          <w:tblCellSpacing w:w="15" w:type="dxa"/>
        </w:trPr>
        <w:tc>
          <w:tcPr>
            <w:tcW w:w="2763" w:type="dxa"/>
            <w:vAlign w:val="center"/>
            <w:hideMark/>
          </w:tcPr>
          <w:p w14:paraId="334461B3"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lastRenderedPageBreak/>
              <w:t>Criterion</w:t>
            </w:r>
          </w:p>
        </w:tc>
        <w:tc>
          <w:tcPr>
            <w:tcW w:w="2400" w:type="dxa"/>
            <w:vAlign w:val="center"/>
            <w:hideMark/>
          </w:tcPr>
          <w:p w14:paraId="6164E31F"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t>p = 0</w:t>
            </w:r>
          </w:p>
        </w:tc>
        <w:tc>
          <w:tcPr>
            <w:tcW w:w="3195" w:type="dxa"/>
            <w:vAlign w:val="center"/>
            <w:hideMark/>
          </w:tcPr>
          <w:p w14:paraId="766A06F5" w14:textId="77777777" w:rsidR="008F02A5" w:rsidRPr="008F02A5" w:rsidRDefault="008F02A5" w:rsidP="0036128C">
            <w:pPr>
              <w:spacing w:line="360" w:lineRule="auto"/>
              <w:jc w:val="both"/>
              <w:rPr>
                <w:rFonts w:asciiTheme="majorBidi" w:hAnsiTheme="majorBidi" w:cstheme="majorBidi"/>
                <w:b/>
                <w:bCs/>
                <w:szCs w:val="24"/>
                <w:lang w:val="en-US"/>
              </w:rPr>
            </w:pPr>
            <w:r w:rsidRPr="008F02A5">
              <w:rPr>
                <w:rFonts w:asciiTheme="majorBidi" w:hAnsiTheme="majorBidi" w:cstheme="majorBidi"/>
                <w:b/>
                <w:bCs/>
                <w:szCs w:val="24"/>
                <w:lang w:val="en-US"/>
              </w:rPr>
              <w:t>p = 1</w:t>
            </w:r>
          </w:p>
        </w:tc>
      </w:tr>
      <w:tr w:rsidR="008F02A5" w:rsidRPr="008F02A5" w14:paraId="5309013A" w14:textId="77777777" w:rsidTr="00497757">
        <w:trPr>
          <w:tblCellSpacing w:w="15" w:type="dxa"/>
        </w:trPr>
        <w:tc>
          <w:tcPr>
            <w:tcW w:w="2763" w:type="dxa"/>
            <w:vAlign w:val="center"/>
            <w:hideMark/>
          </w:tcPr>
          <w:p w14:paraId="15010AC4"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BIC</w:t>
            </w:r>
          </w:p>
        </w:tc>
        <w:tc>
          <w:tcPr>
            <w:tcW w:w="2400" w:type="dxa"/>
            <w:vAlign w:val="center"/>
            <w:hideMark/>
          </w:tcPr>
          <w:p w14:paraId="6406B799"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b/>
                <w:bCs/>
                <w:szCs w:val="24"/>
                <w:lang w:val="en-US"/>
              </w:rPr>
              <w:t>–30.94</w:t>
            </w:r>
          </w:p>
        </w:tc>
        <w:tc>
          <w:tcPr>
            <w:tcW w:w="3195" w:type="dxa"/>
            <w:vAlign w:val="center"/>
            <w:hideMark/>
          </w:tcPr>
          <w:p w14:paraId="70BE63D6"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–30.91</w:t>
            </w:r>
          </w:p>
        </w:tc>
      </w:tr>
      <w:tr w:rsidR="008F02A5" w:rsidRPr="008F02A5" w14:paraId="29D75343" w14:textId="77777777" w:rsidTr="00497757">
        <w:trPr>
          <w:tblCellSpacing w:w="15" w:type="dxa"/>
        </w:trPr>
        <w:tc>
          <w:tcPr>
            <w:tcW w:w="2763" w:type="dxa"/>
            <w:vAlign w:val="center"/>
            <w:hideMark/>
          </w:tcPr>
          <w:p w14:paraId="1B80EAE9"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HQIC</w:t>
            </w:r>
          </w:p>
        </w:tc>
        <w:tc>
          <w:tcPr>
            <w:tcW w:w="2400" w:type="dxa"/>
            <w:vAlign w:val="center"/>
            <w:hideMark/>
          </w:tcPr>
          <w:p w14:paraId="3BC0A225"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szCs w:val="24"/>
                <w:lang w:val="en-US"/>
              </w:rPr>
              <w:t>–30.96</w:t>
            </w:r>
          </w:p>
        </w:tc>
        <w:tc>
          <w:tcPr>
            <w:tcW w:w="3195" w:type="dxa"/>
            <w:vAlign w:val="center"/>
            <w:hideMark/>
          </w:tcPr>
          <w:p w14:paraId="68193371" w14:textId="77777777"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b/>
                <w:bCs/>
                <w:szCs w:val="24"/>
                <w:lang w:val="en-US"/>
              </w:rPr>
              <w:t>–30.97</w:t>
            </w:r>
          </w:p>
        </w:tc>
      </w:tr>
    </w:tbl>
    <w:p w14:paraId="58BD404C" w14:textId="77777777" w:rsidR="0050701C" w:rsidRDefault="0050701C" w:rsidP="0036128C">
      <w:pPr>
        <w:spacing w:line="360" w:lineRule="auto"/>
        <w:jc w:val="both"/>
        <w:rPr>
          <w:rFonts w:asciiTheme="majorBidi" w:hAnsiTheme="majorBidi" w:cstheme="majorBidi"/>
          <w:i/>
          <w:iCs/>
          <w:szCs w:val="24"/>
          <w:lang w:val="en-US"/>
        </w:rPr>
      </w:pPr>
    </w:p>
    <w:p w14:paraId="44A209AE" w14:textId="602DD124" w:rsidR="008F02A5" w:rsidRP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i/>
          <w:iCs/>
          <w:szCs w:val="24"/>
          <w:lang w:val="en-US"/>
        </w:rPr>
        <w:t>Decision.</w:t>
      </w:r>
      <w:r w:rsidRPr="008F02A5">
        <w:rPr>
          <w:rFonts w:asciiTheme="majorBidi" w:hAnsiTheme="majorBidi" w:cstheme="majorBidi"/>
          <w:szCs w:val="24"/>
          <w:lang w:val="en-US"/>
        </w:rPr>
        <w:t xml:space="preserve"> Following Professor </w:t>
      </w:r>
      <w:proofErr w:type="spellStart"/>
      <w:r w:rsidRPr="008F02A5">
        <w:rPr>
          <w:rFonts w:asciiTheme="majorBidi" w:hAnsiTheme="majorBidi" w:cstheme="majorBidi"/>
          <w:szCs w:val="24"/>
          <w:lang w:val="en-US"/>
        </w:rPr>
        <w:t>Dufays</w:t>
      </w:r>
      <w:proofErr w:type="spellEnd"/>
      <w:r w:rsidRPr="008F02A5">
        <w:rPr>
          <w:rFonts w:asciiTheme="majorBidi" w:hAnsiTheme="majorBidi" w:cstheme="majorBidi"/>
          <w:szCs w:val="24"/>
          <w:lang w:val="en-US"/>
        </w:rPr>
        <w:t xml:space="preserve">’ advice, </w:t>
      </w:r>
      <w:proofErr w:type="gramStart"/>
      <w:r w:rsidRPr="008F02A5">
        <w:rPr>
          <w:rFonts w:asciiTheme="majorBidi" w:hAnsiTheme="majorBidi" w:cstheme="majorBidi"/>
          <w:szCs w:val="24"/>
          <w:lang w:val="en-US"/>
        </w:rPr>
        <w:t>VAR(</w:t>
      </w:r>
      <w:proofErr w:type="gramEnd"/>
      <w:r w:rsidRPr="008F02A5">
        <w:rPr>
          <w:rFonts w:asciiTheme="majorBidi" w:hAnsiTheme="majorBidi" w:cstheme="majorBidi"/>
          <w:szCs w:val="24"/>
          <w:lang w:val="en-US"/>
        </w:rPr>
        <w:t>1) is retained because it is defensible under the Hannan–Quinn criterion and avoids omitted-lag bias. Stability is confirmed (</w:t>
      </w:r>
      <w:proofErr w:type="spellStart"/>
      <w:r w:rsidRPr="008F02A5">
        <w:rPr>
          <w:rFonts w:asciiTheme="majorBidi" w:hAnsiTheme="majorBidi" w:cstheme="majorBidi"/>
          <w:szCs w:val="24"/>
          <w:lang w:val="en-US"/>
        </w:rPr>
        <w:t>is_</w:t>
      </w:r>
      <w:proofErr w:type="gramStart"/>
      <w:r w:rsidRPr="008F02A5">
        <w:rPr>
          <w:rFonts w:asciiTheme="majorBidi" w:hAnsiTheme="majorBidi" w:cstheme="majorBidi"/>
          <w:szCs w:val="24"/>
          <w:lang w:val="en-US"/>
        </w:rPr>
        <w:t>stable</w:t>
      </w:r>
      <w:proofErr w:type="spellEnd"/>
      <w:r w:rsidRPr="008F02A5">
        <w:rPr>
          <w:rFonts w:asciiTheme="majorBidi" w:hAnsiTheme="majorBidi" w:cstheme="majorBidi"/>
          <w:szCs w:val="24"/>
          <w:lang w:val="en-US"/>
        </w:rPr>
        <w:t>(</w:t>
      </w:r>
      <w:proofErr w:type="gramEnd"/>
      <w:r w:rsidRPr="008F02A5">
        <w:rPr>
          <w:rFonts w:asciiTheme="majorBidi" w:hAnsiTheme="majorBidi" w:cstheme="majorBidi"/>
          <w:szCs w:val="24"/>
          <w:lang w:val="en-US"/>
        </w:rPr>
        <w:t>) = True).</w:t>
      </w:r>
    </w:p>
    <w:p w14:paraId="175A37F9" w14:textId="77777777" w:rsidR="008F02A5" w:rsidRDefault="008F02A5" w:rsidP="0036128C">
      <w:pPr>
        <w:spacing w:line="360" w:lineRule="auto"/>
        <w:jc w:val="both"/>
        <w:rPr>
          <w:rFonts w:asciiTheme="majorBidi" w:hAnsiTheme="majorBidi" w:cstheme="majorBidi"/>
          <w:szCs w:val="24"/>
          <w:lang w:val="en-US"/>
        </w:rPr>
      </w:pPr>
      <w:r w:rsidRPr="008F02A5">
        <w:rPr>
          <w:rFonts w:asciiTheme="majorBidi" w:hAnsiTheme="majorBidi" w:cstheme="majorBidi"/>
          <w:i/>
          <w:iCs/>
          <w:szCs w:val="24"/>
          <w:lang w:val="en-US"/>
        </w:rPr>
        <w:t>Diagnostics.</w:t>
      </w:r>
      <w:r w:rsidRPr="008F02A5">
        <w:rPr>
          <w:rFonts w:asciiTheme="majorBidi" w:hAnsiTheme="majorBidi" w:cstheme="majorBidi"/>
          <w:szCs w:val="24"/>
          <w:lang w:val="en-US"/>
        </w:rPr>
        <w:t xml:space="preserve"> Residuals are </w:t>
      </w:r>
      <w:proofErr w:type="gramStart"/>
      <w:r w:rsidRPr="008F02A5">
        <w:rPr>
          <w:rFonts w:asciiTheme="majorBidi" w:hAnsiTheme="majorBidi" w:cstheme="majorBidi"/>
          <w:szCs w:val="24"/>
          <w:lang w:val="en-US"/>
        </w:rPr>
        <w:t>white-noise</w:t>
      </w:r>
      <w:proofErr w:type="gramEnd"/>
      <w:r w:rsidRPr="008F02A5">
        <w:rPr>
          <w:rFonts w:asciiTheme="majorBidi" w:hAnsiTheme="majorBidi" w:cstheme="majorBidi"/>
          <w:szCs w:val="24"/>
          <w:lang w:val="en-US"/>
        </w:rPr>
        <w:t xml:space="preserve"> (Portmanteau p = 0.23). Impulse-response functions (IRFs) exhibit economically sensible </w:t>
      </w:r>
      <w:proofErr w:type="spellStart"/>
      <w:r w:rsidRPr="008F02A5">
        <w:rPr>
          <w:rFonts w:asciiTheme="majorBidi" w:hAnsiTheme="majorBidi" w:cstheme="majorBidi"/>
          <w:szCs w:val="24"/>
          <w:lang w:val="en-US"/>
        </w:rPr>
        <w:t>behaviour</w:t>
      </w:r>
      <w:proofErr w:type="spellEnd"/>
      <w:r w:rsidRPr="008F02A5">
        <w:rPr>
          <w:rFonts w:asciiTheme="majorBidi" w:hAnsiTheme="majorBidi" w:cstheme="majorBidi"/>
          <w:szCs w:val="24"/>
          <w:lang w:val="en-US"/>
        </w:rPr>
        <w:t>: a positive credit shock depreciates the rupee for ~6 months before fading.</w:t>
      </w:r>
    </w:p>
    <w:p w14:paraId="46377B65" w14:textId="03FD3753" w:rsidR="00E05799" w:rsidRPr="00E05799" w:rsidRDefault="00E05799" w:rsidP="0036128C">
      <w:pPr>
        <w:spacing w:line="360" w:lineRule="auto"/>
        <w:jc w:val="both"/>
        <w:rPr>
          <w:rFonts w:asciiTheme="majorBidi" w:hAnsiTheme="majorBidi" w:cstheme="majorBidi"/>
          <w:i/>
          <w:iCs/>
          <w:szCs w:val="24"/>
          <w:lang w:val="en-US"/>
        </w:rPr>
      </w:pPr>
      <w:r w:rsidRPr="00E05799">
        <w:rPr>
          <w:rFonts w:asciiTheme="majorBidi" w:hAnsiTheme="majorBidi" w:cstheme="majorBidi"/>
          <w:i/>
          <w:iCs/>
          <w:szCs w:val="24"/>
        </w:rPr>
        <w:t>Note: While MS-VAR was considered for crisis regime classification, the rolling VAR approach was retained for transparency, ease of interpretation, and consistency with structural break diagnostics. MS-VAR extensions remain a promising direction for future research.</w:t>
      </w:r>
    </w:p>
    <w:p w14:paraId="7B22042D" w14:textId="27C495E8" w:rsidR="008F02A5" w:rsidRPr="008F02A5" w:rsidRDefault="008F02A5" w:rsidP="0036128C">
      <w:pPr>
        <w:spacing w:line="360" w:lineRule="auto"/>
        <w:jc w:val="both"/>
        <w:rPr>
          <w:rFonts w:asciiTheme="majorBidi" w:hAnsiTheme="majorBidi" w:cstheme="majorBidi"/>
          <w:szCs w:val="24"/>
          <w:lang w:val="en-US"/>
        </w:rPr>
      </w:pPr>
    </w:p>
    <w:p w14:paraId="49039695" w14:textId="6407563C" w:rsidR="008F02A5" w:rsidRDefault="008F02A5" w:rsidP="00201B01">
      <w:pPr>
        <w:pStyle w:val="Heading2"/>
        <w:spacing w:line="360" w:lineRule="auto"/>
        <w:rPr>
          <w:lang w:val="en-US"/>
        </w:rPr>
      </w:pPr>
      <w:bookmarkStart w:id="30" w:name="_Toc200973168"/>
      <w:r w:rsidRPr="008F02A5">
        <w:rPr>
          <w:lang w:val="en-US"/>
        </w:rPr>
        <w:t>3.4 Rolling-Window Estimation</w:t>
      </w:r>
      <w:bookmarkEnd w:id="30"/>
    </w:p>
    <w:p w14:paraId="65BE3BE3" w14:textId="4E0C53D2" w:rsidR="00201B01" w:rsidRPr="00201B01" w:rsidRDefault="00201B01" w:rsidP="00201B01">
      <w:pPr>
        <w:rPr>
          <w:sz w:val="2"/>
          <w:szCs w:val="2"/>
          <w:lang w:val="en-US"/>
        </w:rPr>
      </w:pPr>
      <w:r w:rsidRPr="00201B01">
        <w:rPr>
          <w:sz w:val="2"/>
          <w:szCs w:val="2"/>
          <w:lang w:val="en-US"/>
        </w:rPr>
        <w:t>.</w:t>
      </w:r>
    </w:p>
    <w:p w14:paraId="2CE2FE7B" w14:textId="1B498B14" w:rsidR="00201B01" w:rsidRDefault="00201B01" w:rsidP="00201B01">
      <w:pPr>
        <w:spacing w:line="360" w:lineRule="auto"/>
        <w:jc w:val="both"/>
        <w:rPr>
          <w:lang w:val="en-US"/>
        </w:rPr>
      </w:pPr>
      <w:r w:rsidRPr="00201B01">
        <w:rPr>
          <w:lang w:val="en-US"/>
        </w:rPr>
        <w:t>To explain how the relationship between private credit and exchange rates has evolved over time, this thesis applies what’s called a rolling-window estimation. Rather than assuming the relationship remains fixed across the entire sample period, this method checks how it changes from one period to another by analyzing overlapping 36-month windows. Imagine looking at the economy through a moving magnifying glass</w:t>
      </w:r>
      <w:r>
        <w:rPr>
          <w:lang w:val="en-US"/>
        </w:rPr>
        <w:t xml:space="preserve"> </w:t>
      </w:r>
      <w:r w:rsidRPr="00201B01">
        <w:rPr>
          <w:lang w:val="en-US"/>
        </w:rPr>
        <w:t>each window gives us a different snapshot. By estimating the VAR model repeatedly over these windows, we observe whether the effect of credit shocks on exchange rates strengthens or weakens during different periods. This helps us understand whether certain economic phases are more sensitive to credit movements than others.</w:t>
      </w:r>
      <w:bookmarkStart w:id="31" w:name="_Toc200973169"/>
    </w:p>
    <w:p w14:paraId="34215B1E" w14:textId="5CC87DB6" w:rsidR="00F05652" w:rsidRDefault="00F05652">
      <w:pPr>
        <w:rPr>
          <w:lang w:val="en-US"/>
        </w:rPr>
      </w:pPr>
      <w:r>
        <w:rPr>
          <w:lang w:val="en-US"/>
        </w:rPr>
        <w:br w:type="page"/>
      </w:r>
    </w:p>
    <w:p w14:paraId="128B93AD" w14:textId="77777777" w:rsidR="00201B01" w:rsidRDefault="00201B01" w:rsidP="00201B01">
      <w:pPr>
        <w:spacing w:line="360" w:lineRule="auto"/>
        <w:jc w:val="both"/>
        <w:rPr>
          <w:lang w:val="en-US"/>
        </w:rPr>
      </w:pPr>
    </w:p>
    <w:p w14:paraId="29B4A0A8" w14:textId="7708EFC3" w:rsidR="008F02A5" w:rsidRDefault="008F02A5" w:rsidP="0036128C">
      <w:pPr>
        <w:pStyle w:val="Heading2"/>
        <w:spacing w:line="360" w:lineRule="auto"/>
        <w:rPr>
          <w:lang w:val="en-US"/>
        </w:rPr>
      </w:pPr>
      <w:r w:rsidRPr="008F02A5">
        <w:rPr>
          <w:lang w:val="en-US"/>
        </w:rPr>
        <w:t>3.5 Structural-Break Detection</w:t>
      </w:r>
      <w:bookmarkEnd w:id="31"/>
    </w:p>
    <w:p w14:paraId="2DA8D1AE" w14:textId="162764A2" w:rsidR="008D3A14" w:rsidRPr="008D3A14" w:rsidRDefault="008D3A14" w:rsidP="008D3A14">
      <w:pPr>
        <w:rPr>
          <w:sz w:val="2"/>
          <w:szCs w:val="2"/>
          <w:lang w:val="en-US"/>
        </w:rPr>
      </w:pPr>
      <w:r w:rsidRPr="008D3A14">
        <w:rPr>
          <w:sz w:val="2"/>
          <w:szCs w:val="2"/>
          <w:lang w:val="en-US"/>
        </w:rPr>
        <w:t>.</w:t>
      </w:r>
    </w:p>
    <w:p w14:paraId="0D2126EA" w14:textId="6B761D61" w:rsidR="00201B01" w:rsidRPr="00201B01" w:rsidRDefault="00201B01" w:rsidP="00201B01">
      <w:pPr>
        <w:spacing w:line="360" w:lineRule="auto"/>
        <w:jc w:val="both"/>
        <w:rPr>
          <w:rFonts w:asciiTheme="majorBidi" w:hAnsiTheme="majorBidi" w:cstheme="majorBidi"/>
          <w:szCs w:val="24"/>
          <w:lang w:val="en-US"/>
        </w:rPr>
      </w:pPr>
      <w:r w:rsidRPr="00201B01">
        <w:rPr>
          <w:rFonts w:asciiTheme="majorBidi" w:hAnsiTheme="majorBidi" w:cstheme="majorBidi"/>
          <w:szCs w:val="24"/>
          <w:lang w:val="en-US"/>
        </w:rPr>
        <w:t xml:space="preserve">Identifying Structural Breaks in the Data After estimating the evolving relationship, the next logical step is to check whether there are any moments in time when that relationship shifts dramatically. This is where the concept of a "structural break" comes in. Using the CUSUM </w:t>
      </w:r>
      <w:r w:rsidRPr="00201B01">
        <w:rPr>
          <w:rFonts w:asciiTheme="majorBidi" w:hAnsiTheme="majorBidi" w:cstheme="majorBidi"/>
          <w:szCs w:val="24"/>
          <w:lang w:val="en-US"/>
        </w:rPr>
        <w:t>tes</w:t>
      </w:r>
      <w:r>
        <w:rPr>
          <w:rFonts w:asciiTheme="majorBidi" w:hAnsiTheme="majorBidi" w:cstheme="majorBidi"/>
          <w:szCs w:val="24"/>
          <w:lang w:val="en-US"/>
        </w:rPr>
        <w:t xml:space="preserve">t, </w:t>
      </w:r>
      <w:r w:rsidRPr="00201B01">
        <w:rPr>
          <w:rFonts w:asciiTheme="majorBidi" w:hAnsiTheme="majorBidi" w:cstheme="majorBidi"/>
          <w:szCs w:val="24"/>
          <w:lang w:val="en-US"/>
        </w:rPr>
        <w:t xml:space="preserve">a method that flags when a model’s performance starts to </w:t>
      </w:r>
      <w:r w:rsidR="00F05652" w:rsidRPr="00201B01">
        <w:rPr>
          <w:rFonts w:asciiTheme="majorBidi" w:hAnsiTheme="majorBidi" w:cstheme="majorBidi"/>
          <w:szCs w:val="24"/>
          <w:lang w:val="en-US"/>
        </w:rPr>
        <w:t>change</w:t>
      </w:r>
      <w:r w:rsidR="00F05652">
        <w:rPr>
          <w:rFonts w:asciiTheme="majorBidi" w:hAnsiTheme="majorBidi" w:cstheme="majorBidi"/>
          <w:szCs w:val="24"/>
          <w:lang w:val="en-US"/>
        </w:rPr>
        <w:t>,</w:t>
      </w:r>
      <w:r>
        <w:rPr>
          <w:rFonts w:asciiTheme="majorBidi" w:hAnsiTheme="majorBidi" w:cstheme="majorBidi"/>
          <w:szCs w:val="24"/>
          <w:lang w:val="en-US"/>
        </w:rPr>
        <w:t xml:space="preserve"> </w:t>
      </w:r>
      <w:r w:rsidRPr="00201B01">
        <w:rPr>
          <w:rFonts w:asciiTheme="majorBidi" w:hAnsiTheme="majorBidi" w:cstheme="majorBidi"/>
          <w:szCs w:val="24"/>
          <w:lang w:val="en-US"/>
        </w:rPr>
        <w:t>we detect a clear break around late 2019. To get a more precise timestamp for this change, we also apply the PELT algorithm, which sharpens our view. These tools are well-suited for identifying both gradual drifts and sudden breaks. They allow us to confirm that the model's behavior changed in a statistically meaningful way around that time, pointing toward an economic shock consistent with the onset of COVID-19.</w:t>
      </w:r>
    </w:p>
    <w:p w14:paraId="1AF77F63" w14:textId="77777777" w:rsidR="008D3A14" w:rsidRPr="008D3A14" w:rsidRDefault="008D3A14" w:rsidP="00201B01">
      <w:pPr>
        <w:spacing w:line="360" w:lineRule="auto"/>
        <w:jc w:val="both"/>
        <w:rPr>
          <w:rFonts w:asciiTheme="majorBidi" w:hAnsiTheme="majorBidi" w:cstheme="majorBidi"/>
          <w:szCs w:val="24"/>
          <w:lang w:val="en-US"/>
        </w:rPr>
      </w:pPr>
    </w:p>
    <w:p w14:paraId="4E27D2BA" w14:textId="18E838EF" w:rsidR="008F02A5" w:rsidRPr="008F02A5" w:rsidRDefault="008F02A5" w:rsidP="0036128C">
      <w:pPr>
        <w:pStyle w:val="Heading2"/>
        <w:spacing w:line="360" w:lineRule="auto"/>
        <w:rPr>
          <w:b w:val="0"/>
          <w:lang w:val="en-US"/>
        </w:rPr>
      </w:pPr>
      <w:bookmarkStart w:id="32" w:name="_Toc200973170"/>
      <w:r w:rsidRPr="008F02A5">
        <w:rPr>
          <w:lang w:val="en-US"/>
        </w:rPr>
        <w:t>3.6 Connecting VAR Findings to Financial-Crisis Risk</w:t>
      </w:r>
      <w:bookmarkEnd w:id="32"/>
    </w:p>
    <w:p w14:paraId="472B3873" w14:textId="5EBFCA64" w:rsidR="00201B01" w:rsidRPr="00201B01" w:rsidRDefault="00201B01" w:rsidP="00201B01">
      <w:pPr>
        <w:pStyle w:val="Heading2"/>
        <w:spacing w:line="360" w:lineRule="auto"/>
        <w:jc w:val="both"/>
        <w:rPr>
          <w:b w:val="0"/>
          <w:bCs/>
          <w:lang w:val="en-US"/>
        </w:rPr>
      </w:pPr>
      <w:bookmarkStart w:id="33" w:name="_Toc200973171"/>
      <w:r w:rsidRPr="00201B01">
        <w:rPr>
          <w:b w:val="0"/>
          <w:bCs/>
          <w:lang w:val="en-US"/>
        </w:rPr>
        <w:t>This section connects our statistical findings to real-world events and concerns. The key takeaway from the previous analysis is that a major shift occurred in how credit influences exchange rates, starting around the end of 2019. This coincides with the global COVID-19 shock, suggesting that international liquidity conditions might have a stronger influence on India’s financial markets than previously thought. Moreover, the impulse response analysis shows that when credit expands unexpectedly, the exchange rate tends to depreciate shortly afterward. Interestingly, the reverse does not hold</w:t>
      </w:r>
      <w:r w:rsidRPr="00201B01">
        <w:rPr>
          <w:b w:val="0"/>
          <w:bCs/>
          <w:lang w:val="en-US"/>
        </w:rPr>
        <w:t xml:space="preserve"> </w:t>
      </w:r>
      <w:r w:rsidRPr="00201B01">
        <w:rPr>
          <w:b w:val="0"/>
          <w:bCs/>
          <w:lang w:val="en-US"/>
        </w:rPr>
        <w:t>exchange rate shocks don’t seem to affect credit. This one-sided relationship is crucial because it tells us that rising credit might be a signal of looming currency stress, offering policymakers a potential warning tool.</w:t>
      </w:r>
    </w:p>
    <w:p w14:paraId="71FDD061" w14:textId="77777777" w:rsidR="00201B01" w:rsidRDefault="00201B01" w:rsidP="0036128C">
      <w:pPr>
        <w:pStyle w:val="Heading2"/>
        <w:spacing w:line="360" w:lineRule="auto"/>
        <w:rPr>
          <w:lang w:val="en-US"/>
        </w:rPr>
      </w:pPr>
    </w:p>
    <w:p w14:paraId="6F6D8DA8" w14:textId="61937BB6" w:rsidR="00B15A02" w:rsidRDefault="00B15A02" w:rsidP="0036128C">
      <w:pPr>
        <w:pStyle w:val="Heading2"/>
        <w:spacing w:line="360" w:lineRule="auto"/>
        <w:rPr>
          <w:lang w:val="en-US"/>
        </w:rPr>
      </w:pPr>
      <w:r w:rsidRPr="00B15A02">
        <w:rPr>
          <w:lang w:val="en-US"/>
        </w:rPr>
        <w:t xml:space="preserve">3.7 </w:t>
      </w:r>
      <w:bookmarkStart w:id="34" w:name="_Hlk200972658"/>
      <w:r w:rsidRPr="00B15A02">
        <w:rPr>
          <w:lang w:val="en-US"/>
        </w:rPr>
        <w:t>Robust checks</w:t>
      </w:r>
      <w:bookmarkEnd w:id="33"/>
      <w:r w:rsidRPr="00B15A02">
        <w:rPr>
          <w:lang w:val="en-US"/>
        </w:rPr>
        <w:t xml:space="preserve"> </w:t>
      </w:r>
      <w:bookmarkEnd w:id="34"/>
    </w:p>
    <w:p w14:paraId="37817CF5" w14:textId="2D51FF8F" w:rsidR="00497757" w:rsidRDefault="00201B01" w:rsidP="00F05652">
      <w:pPr>
        <w:spacing w:line="360" w:lineRule="auto"/>
        <w:jc w:val="both"/>
        <w:rPr>
          <w:lang w:val="en-US"/>
        </w:rPr>
      </w:pPr>
      <w:r w:rsidRPr="00201B01">
        <w:rPr>
          <w:lang w:val="en-US"/>
        </w:rPr>
        <w:t>Ensuring Robustness of Results Academic analysis needs to be convincing not just once, but across different reasonable setups. To ensure that our conclusions are not an artifact of one specific model choice, this thesis tests alternative versions of the VAR model</w:t>
      </w:r>
      <w:r>
        <w:rPr>
          <w:lang w:val="en-US"/>
        </w:rPr>
        <w:t xml:space="preserve"> </w:t>
      </w:r>
      <w:r w:rsidRPr="00201B01">
        <w:rPr>
          <w:lang w:val="en-US"/>
        </w:rPr>
        <w:t>with more lags, different window sizes, and complementary diagnostic strategies. Among these are tools that pick up slow-building instability, such as the MOSUM (moving sum) test, and others that detect abrupt regime changes, like the sup-Wald test, which checks for unknown breakpoints within the sample. The use of these complementary approaches helps us assess both the continuity and the turning points in the model’s behavior.</w:t>
      </w:r>
    </w:p>
    <w:p w14:paraId="6348CAA9" w14:textId="5EF5E58E" w:rsidR="00F05652" w:rsidRPr="00F05652" w:rsidRDefault="00F05652" w:rsidP="00F05652">
      <w:pPr>
        <w:spacing w:line="360" w:lineRule="auto"/>
        <w:jc w:val="both"/>
        <w:rPr>
          <w:lang w:val="en-US"/>
        </w:rPr>
      </w:pPr>
      <w:r w:rsidRPr="00F05652">
        <w:rPr>
          <w:lang w:val="en-US"/>
        </w:rPr>
        <w:lastRenderedPageBreak/>
        <w:t xml:space="preserve">Even after applying these different lenses, the same core findings </w:t>
      </w:r>
      <w:proofErr w:type="gramStart"/>
      <w:r w:rsidRPr="00F05652">
        <w:rPr>
          <w:lang w:val="en-US"/>
        </w:rPr>
        <w:t>persist</w:t>
      </w:r>
      <w:r w:rsidR="003E1209">
        <w:rPr>
          <w:lang w:val="en-US"/>
        </w:rPr>
        <w:t xml:space="preserve"> ,</w:t>
      </w:r>
      <w:proofErr w:type="gramEnd"/>
      <w:r w:rsidR="003E1209">
        <w:rPr>
          <w:lang w:val="en-US"/>
        </w:rPr>
        <w:t xml:space="preserve"> </w:t>
      </w:r>
      <w:r w:rsidRPr="00F05652">
        <w:rPr>
          <w:lang w:val="en-US"/>
        </w:rPr>
        <w:t>the late-2019 structural shift remains evident, and the directional impact</w:t>
      </w:r>
      <w:r>
        <w:rPr>
          <w:lang w:val="en-US"/>
        </w:rPr>
        <w:t xml:space="preserve"> </w:t>
      </w:r>
      <w:r w:rsidRPr="00F05652">
        <w:rPr>
          <w:lang w:val="en-US"/>
        </w:rPr>
        <w:t>credit leading exchange rate changes but not the reverse</w:t>
      </w:r>
      <w:r>
        <w:rPr>
          <w:lang w:val="en-US"/>
        </w:rPr>
        <w:t xml:space="preserve"> </w:t>
      </w:r>
      <w:r w:rsidRPr="00F05652">
        <w:rPr>
          <w:lang w:val="en-US"/>
        </w:rPr>
        <w:t>holds consistently. This consistency across specifications strengthens the reliability of our interpretations and suggests the patterns uncovered are deeply embedded in the data, rather than being the byproduct of any single modeling decision.</w:t>
      </w:r>
    </w:p>
    <w:p w14:paraId="57E008C5" w14:textId="28253C27" w:rsidR="008F02A5" w:rsidRPr="008F02A5" w:rsidRDefault="008F02A5" w:rsidP="0036128C">
      <w:pPr>
        <w:pStyle w:val="Heading2"/>
        <w:spacing w:line="360" w:lineRule="auto"/>
        <w:rPr>
          <w:b w:val="0"/>
          <w:lang w:val="en-US"/>
        </w:rPr>
      </w:pPr>
      <w:bookmarkStart w:id="35" w:name="_Toc200973172"/>
      <w:r w:rsidRPr="008F02A5">
        <w:rPr>
          <w:lang w:val="en-US"/>
        </w:rPr>
        <w:t>3.8 Software and Reproducibility</w:t>
      </w:r>
      <w:bookmarkEnd w:id="35"/>
    </w:p>
    <w:p w14:paraId="595D0D90" w14:textId="77777777" w:rsidR="00E373AB" w:rsidRDefault="008F02A5" w:rsidP="00E373AB">
      <w:pPr>
        <w:spacing w:line="360" w:lineRule="auto"/>
        <w:rPr>
          <w:rFonts w:asciiTheme="majorBidi" w:hAnsiTheme="majorBidi" w:cstheme="majorBidi"/>
          <w:szCs w:val="24"/>
        </w:rPr>
      </w:pPr>
      <w:r w:rsidRPr="008F02A5">
        <w:rPr>
          <w:rFonts w:asciiTheme="majorBidi" w:hAnsiTheme="majorBidi" w:cstheme="majorBidi"/>
          <w:szCs w:val="24"/>
          <w:lang w:val="en-US"/>
        </w:rPr>
        <w:t>Python 3.11, pandas 2.2, </w:t>
      </w:r>
      <w:proofErr w:type="spellStart"/>
      <w:r w:rsidRPr="008F02A5">
        <w:rPr>
          <w:rFonts w:asciiTheme="majorBidi" w:hAnsiTheme="majorBidi" w:cstheme="majorBidi"/>
          <w:szCs w:val="24"/>
          <w:lang w:val="en-US"/>
        </w:rPr>
        <w:t>statsmodels</w:t>
      </w:r>
      <w:proofErr w:type="spellEnd"/>
      <w:r w:rsidRPr="008F02A5">
        <w:rPr>
          <w:rFonts w:asciiTheme="majorBidi" w:hAnsiTheme="majorBidi" w:cstheme="majorBidi"/>
          <w:szCs w:val="24"/>
          <w:lang w:val="en-US"/>
        </w:rPr>
        <w:t xml:space="preserve"> 0.15, ruptures 1.1; notebook executes in &lt; 2 minutes on an M1 Mac. </w:t>
      </w:r>
    </w:p>
    <w:p w14:paraId="14EBC6AB" w14:textId="6D91F746" w:rsidR="00E373AB" w:rsidRPr="00E373AB" w:rsidRDefault="00E373AB" w:rsidP="00E373AB">
      <w:pPr>
        <w:spacing w:line="360" w:lineRule="auto"/>
        <w:rPr>
          <w:rFonts w:asciiTheme="majorBidi" w:hAnsiTheme="majorBidi" w:cstheme="majorBidi"/>
          <w:i/>
          <w:iCs/>
          <w:szCs w:val="24"/>
          <w:lang w:val="en-US"/>
        </w:rPr>
      </w:pPr>
      <w:r w:rsidRPr="00E373AB">
        <w:rPr>
          <w:rFonts w:asciiTheme="majorBidi" w:hAnsiTheme="majorBidi" w:cstheme="majorBidi"/>
          <w:i/>
          <w:iCs/>
          <w:szCs w:val="24"/>
        </w:rPr>
        <w:t>Some coding clarifications and econometric interpretations were supported by AI-based tools such as ChatGPT (OpenAI, 2025), which helped verify steps related to the stationarity tests and VAR implementation.</w:t>
      </w:r>
    </w:p>
    <w:p w14:paraId="7E377E1B" w14:textId="56DA6F46" w:rsidR="00ED0E66" w:rsidRDefault="002039E9" w:rsidP="003E1209">
      <w:pPr>
        <w:spacing w:line="360" w:lineRule="auto"/>
      </w:pPr>
      <w:r w:rsidRPr="0047429E">
        <w:rPr>
          <w:lang w:val="en-GB"/>
        </w:rPr>
        <w:br w:type="page"/>
      </w:r>
      <w:bookmarkStart w:id="36" w:name="_Toc200973173"/>
      <w:r w:rsidR="00ED0E66" w:rsidRPr="003E1209">
        <w:rPr>
          <w:rStyle w:val="Heading1Char"/>
        </w:rPr>
        <w:lastRenderedPageBreak/>
        <w:t>4</w:t>
      </w:r>
      <w:r w:rsidR="00791D03" w:rsidRPr="003E1209">
        <w:rPr>
          <w:rStyle w:val="Heading1Char"/>
        </w:rPr>
        <w:t>.</w:t>
      </w:r>
      <w:r w:rsidR="00E373AB">
        <w:rPr>
          <w:rStyle w:val="Heading1Char"/>
        </w:rPr>
        <w:t xml:space="preserve"> </w:t>
      </w:r>
      <w:r w:rsidR="00ED0E66" w:rsidRPr="003E1209">
        <w:rPr>
          <w:rStyle w:val="Heading1Char"/>
        </w:rPr>
        <w:t>Results</w:t>
      </w:r>
      <w:bookmarkEnd w:id="36"/>
    </w:p>
    <w:p w14:paraId="40CE1810" w14:textId="77777777" w:rsidR="009B7F57" w:rsidRPr="009B7F57" w:rsidRDefault="009B7F57" w:rsidP="009B7F57">
      <w:pPr>
        <w:pStyle w:val="Heading2"/>
        <w:rPr>
          <w:lang w:val="en-US"/>
        </w:rPr>
      </w:pPr>
      <w:r w:rsidRPr="009B7F57">
        <w:rPr>
          <w:lang w:val="en-US"/>
        </w:rPr>
        <w:t>4.1 Strategy Behind the Empirical Design</w:t>
      </w:r>
    </w:p>
    <w:p w14:paraId="6655821D" w14:textId="77777777" w:rsidR="009B7F57" w:rsidRPr="009B7F57" w:rsidRDefault="009B7F57" w:rsidP="009B7F57"/>
    <w:p w14:paraId="453E523F" w14:textId="77777777" w:rsidR="009B7F57" w:rsidRPr="009B7F57" w:rsidRDefault="009B7F57"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The empirical strategy unfolds in four structured layers, each designed to build progressively toward a deeper understanding of the relationship between private credit and exchange rates.</w:t>
      </w:r>
    </w:p>
    <w:p w14:paraId="02E60FB6" w14:textId="01D0F164" w:rsidR="009B7F57" w:rsidRPr="009B7F57" w:rsidRDefault="009B7F57"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First, pre-estimation screening ensures the data are appropriately prepared. Augmented Dickey</w:t>
      </w:r>
      <w:r>
        <w:rPr>
          <w:rFonts w:asciiTheme="majorBidi" w:hAnsiTheme="majorBidi" w:cstheme="majorBidi"/>
          <w:szCs w:val="24"/>
          <w:lang w:val="en-US"/>
        </w:rPr>
        <w:t>-</w:t>
      </w:r>
      <w:r w:rsidRPr="009B7F57">
        <w:rPr>
          <w:rFonts w:asciiTheme="majorBidi" w:hAnsiTheme="majorBidi" w:cstheme="majorBidi"/>
          <w:szCs w:val="24"/>
          <w:lang w:val="en-US"/>
        </w:rPr>
        <w:t xml:space="preserve">Fuller and KPSS tests confirm that both the INR/USD exchange rate and non-food credit series are integrated of order one, </w:t>
      </w:r>
      <w:proofErr w:type="gramStart"/>
      <w:r w:rsidRPr="009B7F57">
        <w:rPr>
          <w:rFonts w:asciiTheme="majorBidi" w:hAnsiTheme="majorBidi" w:cstheme="majorBidi"/>
          <w:szCs w:val="24"/>
          <w:lang w:val="en-US"/>
        </w:rPr>
        <w:t>I(</w:t>
      </w:r>
      <w:proofErr w:type="gramEnd"/>
      <w:r w:rsidRPr="009B7F57">
        <w:rPr>
          <w:rFonts w:asciiTheme="majorBidi" w:hAnsiTheme="majorBidi" w:cstheme="majorBidi"/>
          <w:szCs w:val="24"/>
          <w:lang w:val="en-US"/>
        </w:rPr>
        <w:t>1), in levels and become stationary, I(0), after first log-differencing. A Johansen trace test detects no cointegration, which justifies the use of a VAR model in differences rather than a VECM.</w:t>
      </w:r>
    </w:p>
    <w:p w14:paraId="4EF55DE8" w14:textId="77777777" w:rsidR="009B7F57" w:rsidRPr="009B7F57" w:rsidRDefault="009B7F57"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 xml:space="preserve">Second, a full-sample benchmark </w:t>
      </w:r>
      <w:proofErr w:type="gramStart"/>
      <w:r w:rsidRPr="009B7F57">
        <w:rPr>
          <w:rFonts w:asciiTheme="majorBidi" w:hAnsiTheme="majorBidi" w:cstheme="majorBidi"/>
          <w:szCs w:val="24"/>
          <w:lang w:val="en-US"/>
        </w:rPr>
        <w:t>VAR(</w:t>
      </w:r>
      <w:proofErr w:type="gramEnd"/>
      <w:r w:rsidRPr="009B7F57">
        <w:rPr>
          <w:rFonts w:asciiTheme="majorBidi" w:hAnsiTheme="majorBidi" w:cstheme="majorBidi"/>
          <w:szCs w:val="24"/>
          <w:lang w:val="en-US"/>
        </w:rPr>
        <w:t xml:space="preserve">1) model is estimated. Although the lag-length criteria marginally </w:t>
      </w:r>
      <w:proofErr w:type="gramStart"/>
      <w:r w:rsidRPr="009B7F57">
        <w:rPr>
          <w:rFonts w:asciiTheme="majorBidi" w:hAnsiTheme="majorBidi" w:cstheme="majorBidi"/>
          <w:szCs w:val="24"/>
          <w:lang w:val="en-US"/>
        </w:rPr>
        <w:t>favors</w:t>
      </w:r>
      <w:proofErr w:type="gramEnd"/>
      <w:r w:rsidRPr="009B7F57">
        <w:rPr>
          <w:rFonts w:asciiTheme="majorBidi" w:hAnsiTheme="majorBidi" w:cstheme="majorBidi"/>
          <w:szCs w:val="24"/>
          <w:lang w:val="en-US"/>
        </w:rPr>
        <w:t xml:space="preserve"> a lag length of zero, the Hannan-Quinn Information Criterion supports a lag length of one, which is retained to capture short-run feedback effects. The estimated system satisfies covariance-stationarity and passes diagnostic checks for residual whiteness, normality, and absence of ARCH effects, supporting its validity for inference.</w:t>
      </w:r>
    </w:p>
    <w:p w14:paraId="36206E3E" w14:textId="0F165142" w:rsidR="009B7F57" w:rsidRPr="009B7F57" w:rsidRDefault="009B7F57"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 xml:space="preserve">Third, the analysis turns to rolling estimation. The </w:t>
      </w:r>
      <w:r w:rsidRPr="009B7F57">
        <w:rPr>
          <w:rFonts w:asciiTheme="majorBidi" w:hAnsiTheme="majorBidi" w:cstheme="majorBidi"/>
          <w:szCs w:val="24"/>
          <w:lang w:val="en-US"/>
        </w:rPr>
        <w:t>VAR (</w:t>
      </w:r>
      <w:r w:rsidRPr="009B7F57">
        <w:rPr>
          <w:rFonts w:asciiTheme="majorBidi" w:hAnsiTheme="majorBidi" w:cstheme="majorBidi"/>
          <w:szCs w:val="24"/>
          <w:lang w:val="en-US"/>
        </w:rPr>
        <w:t>1) model is re-estimated over sliding 36-month windows to capture evolving dynamics. This generates two time-varying coefficients: βₜ, capturing the spillover from credit shocks to the exchange rate, and γₜ, measuring the reverse effect. These rolling estimates offer a more nuanced view of how linkages shift under different economic conditions.</w:t>
      </w:r>
    </w:p>
    <w:p w14:paraId="15320CA7" w14:textId="26E9DF80" w:rsidR="009B7F57" w:rsidRPr="009B7F57" w:rsidRDefault="009B7F57"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Finally, structural break analysis is applied to detect abrupt changes in the behavior of these dynamic coefficients. CUSUM tests on the recursive residuals reject the null of parameter constancy for both βₜ and γₜ, with test statistics of 3.80 and 2.50 respectively</w:t>
      </w:r>
      <w:r>
        <w:rPr>
          <w:rFonts w:asciiTheme="majorBidi" w:hAnsiTheme="majorBidi" w:cstheme="majorBidi"/>
          <w:szCs w:val="24"/>
          <w:lang w:val="en-US"/>
        </w:rPr>
        <w:t xml:space="preserve"> </w:t>
      </w:r>
      <w:r w:rsidRPr="009B7F57">
        <w:rPr>
          <w:rFonts w:asciiTheme="majorBidi" w:hAnsiTheme="majorBidi" w:cstheme="majorBidi"/>
          <w:szCs w:val="24"/>
          <w:lang w:val="en-US"/>
        </w:rPr>
        <w:t>both exceeding the critical threshold of 1.63. A preliminary window-based flagging of crisis periods is refined using the PELT algorithm, which pinpoints the most significant structural break to 20 December 2019. Notably, this timing aligns with the onset of global COVID-19 shocks, offering additional context to the empirical findings.</w:t>
      </w:r>
    </w:p>
    <w:p w14:paraId="3C1C2B20" w14:textId="77777777" w:rsidR="009B7F57" w:rsidRPr="009B7F57" w:rsidRDefault="009B7F57" w:rsidP="009B7F57">
      <w:pPr>
        <w:spacing w:line="360" w:lineRule="auto"/>
        <w:jc w:val="both"/>
        <w:rPr>
          <w:rFonts w:asciiTheme="majorBidi" w:hAnsiTheme="majorBidi" w:cstheme="majorBidi"/>
          <w:i/>
          <w:iCs/>
          <w:sz w:val="22"/>
          <w:szCs w:val="22"/>
          <w:lang w:val="en-US"/>
        </w:rPr>
      </w:pPr>
      <w:r w:rsidRPr="009B7F57">
        <w:rPr>
          <w:rFonts w:asciiTheme="majorBidi" w:hAnsiTheme="majorBidi" w:cstheme="majorBidi"/>
          <w:i/>
          <w:iCs/>
          <w:sz w:val="22"/>
          <w:szCs w:val="22"/>
          <w:lang w:val="en-US"/>
        </w:rPr>
        <w:t xml:space="preserve">All computations supporting this analysis are fully reproducible and documented in the accompanying </w:t>
      </w:r>
      <w:proofErr w:type="spellStart"/>
      <w:r w:rsidRPr="009B7F57">
        <w:rPr>
          <w:rFonts w:asciiTheme="majorBidi" w:hAnsiTheme="majorBidi" w:cstheme="majorBidi"/>
          <w:i/>
          <w:iCs/>
          <w:sz w:val="22"/>
          <w:szCs w:val="22"/>
          <w:lang w:val="en-US"/>
        </w:rPr>
        <w:t>Jupyter</w:t>
      </w:r>
      <w:proofErr w:type="spellEnd"/>
      <w:r w:rsidRPr="009B7F57">
        <w:rPr>
          <w:rFonts w:asciiTheme="majorBidi" w:hAnsiTheme="majorBidi" w:cstheme="majorBidi"/>
          <w:i/>
          <w:iCs/>
          <w:sz w:val="22"/>
          <w:szCs w:val="22"/>
          <w:lang w:val="en-US"/>
        </w:rPr>
        <w:t xml:space="preserve"> notebook, </w:t>
      </w:r>
      <w:proofErr w:type="spellStart"/>
      <w:r w:rsidRPr="009B7F57">
        <w:rPr>
          <w:rFonts w:asciiTheme="majorBidi" w:hAnsiTheme="majorBidi" w:cstheme="majorBidi"/>
          <w:i/>
          <w:iCs/>
          <w:sz w:val="22"/>
          <w:szCs w:val="22"/>
          <w:lang w:val="en-US"/>
        </w:rPr>
        <w:t>VAR_CUSUM.ipynb</w:t>
      </w:r>
      <w:proofErr w:type="spellEnd"/>
      <w:r w:rsidRPr="009B7F57">
        <w:rPr>
          <w:rFonts w:asciiTheme="majorBidi" w:hAnsiTheme="majorBidi" w:cstheme="majorBidi"/>
          <w:i/>
          <w:iCs/>
          <w:sz w:val="22"/>
          <w:szCs w:val="22"/>
          <w:lang w:val="en-US"/>
        </w:rPr>
        <w:t>.</w:t>
      </w:r>
    </w:p>
    <w:p w14:paraId="14EC7584" w14:textId="77777777" w:rsidR="00BB2948" w:rsidRDefault="00BB2948" w:rsidP="0036128C">
      <w:pPr>
        <w:spacing w:line="360" w:lineRule="auto"/>
        <w:jc w:val="both"/>
        <w:rPr>
          <w:rFonts w:asciiTheme="majorBidi" w:hAnsiTheme="majorBidi" w:cstheme="majorBidi"/>
          <w:szCs w:val="24"/>
          <w:vertAlign w:val="superscript"/>
          <w:lang w:val="en-US"/>
        </w:rPr>
      </w:pPr>
    </w:p>
    <w:p w14:paraId="14852A81" w14:textId="77777777" w:rsidR="00BB2948" w:rsidRPr="00BB2948" w:rsidRDefault="00BB2948" w:rsidP="0036128C">
      <w:pPr>
        <w:spacing w:line="360" w:lineRule="auto"/>
        <w:jc w:val="both"/>
        <w:rPr>
          <w:rFonts w:asciiTheme="majorBidi" w:hAnsiTheme="majorBidi" w:cstheme="majorBidi"/>
          <w:szCs w:val="24"/>
          <w:vertAlign w:val="superscript"/>
          <w:lang w:val="en-US"/>
        </w:rPr>
      </w:pPr>
    </w:p>
    <w:p w14:paraId="51C1E9A3" w14:textId="77777777" w:rsidR="00B15A02" w:rsidRDefault="00B15A02" w:rsidP="00857AC8">
      <w:pPr>
        <w:spacing w:line="360" w:lineRule="auto"/>
        <w:rPr>
          <w:rFonts w:asciiTheme="majorBidi" w:hAnsiTheme="majorBidi" w:cstheme="majorBidi"/>
          <w:szCs w:val="24"/>
          <w:lang w:val="en-US"/>
        </w:rPr>
      </w:pPr>
    </w:p>
    <w:p w14:paraId="34E97E69" w14:textId="4404D55E" w:rsidR="00B15A02" w:rsidRDefault="00B15A02" w:rsidP="00857AC8">
      <w:pPr>
        <w:spacing w:line="360" w:lineRule="auto"/>
        <w:rPr>
          <w:rFonts w:asciiTheme="majorBidi" w:hAnsiTheme="majorBidi" w:cstheme="majorBidi"/>
          <w:szCs w:val="24"/>
          <w:lang w:val="en-US"/>
        </w:rPr>
      </w:pPr>
      <w:r>
        <w:rPr>
          <w:rFonts w:asciiTheme="majorBidi" w:hAnsiTheme="majorBidi" w:cstheme="majorBidi"/>
          <w:noProof/>
          <w:szCs w:val="24"/>
          <w:lang w:val="en-US"/>
        </w:rPr>
        <w:drawing>
          <wp:inline distT="0" distB="0" distL="0" distR="0" wp14:anchorId="087A4DFE" wp14:editId="203B3B32">
            <wp:extent cx="5760720" cy="3107055"/>
            <wp:effectExtent l="0" t="0" r="5080" b="4445"/>
            <wp:docPr id="1845506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06677" name="Picture 18455066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07055"/>
                    </a:xfrm>
                    <a:prstGeom prst="rect">
                      <a:avLst/>
                    </a:prstGeom>
                  </pic:spPr>
                </pic:pic>
              </a:graphicData>
            </a:graphic>
          </wp:inline>
        </w:drawing>
      </w:r>
    </w:p>
    <w:p w14:paraId="1F048724" w14:textId="008C71AD" w:rsidR="00B15A02" w:rsidRDefault="00B15A02" w:rsidP="00857AC8">
      <w:pPr>
        <w:spacing w:line="360" w:lineRule="auto"/>
        <w:rPr>
          <w:rFonts w:asciiTheme="majorBidi" w:hAnsiTheme="majorBidi" w:cstheme="majorBidi"/>
          <w:szCs w:val="24"/>
          <w:lang w:val="en-US"/>
        </w:rPr>
      </w:pPr>
    </w:p>
    <w:p w14:paraId="0B7250C7" w14:textId="0E869684" w:rsidR="00B15A02" w:rsidRDefault="00B15A02" w:rsidP="00857AC8">
      <w:pPr>
        <w:spacing w:line="360" w:lineRule="auto"/>
        <w:rPr>
          <w:rFonts w:asciiTheme="majorBidi" w:hAnsiTheme="majorBidi" w:cstheme="majorBidi"/>
          <w:szCs w:val="24"/>
          <w:lang w:val="en-US"/>
        </w:rPr>
      </w:pPr>
      <w:r>
        <w:rPr>
          <w:rFonts w:asciiTheme="majorBidi" w:hAnsiTheme="majorBidi" w:cstheme="majorBidi"/>
          <w:noProof/>
          <w:szCs w:val="24"/>
          <w:lang w:val="en-US"/>
        </w:rPr>
        <w:drawing>
          <wp:inline distT="0" distB="0" distL="0" distR="0" wp14:anchorId="5C490FD5" wp14:editId="37BE727F">
            <wp:extent cx="5760720" cy="3135630"/>
            <wp:effectExtent l="0" t="0" r="5080" b="1270"/>
            <wp:docPr id="604564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64332" name="Picture 6045643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135630"/>
                    </a:xfrm>
                    <a:prstGeom prst="rect">
                      <a:avLst/>
                    </a:prstGeom>
                  </pic:spPr>
                </pic:pic>
              </a:graphicData>
            </a:graphic>
          </wp:inline>
        </w:drawing>
      </w:r>
    </w:p>
    <w:p w14:paraId="5D929C90" w14:textId="77777777" w:rsidR="00B15A02" w:rsidRPr="00ED0E66" w:rsidRDefault="00B15A02" w:rsidP="00857AC8">
      <w:pPr>
        <w:spacing w:line="360" w:lineRule="auto"/>
        <w:rPr>
          <w:rFonts w:asciiTheme="majorBidi" w:hAnsiTheme="majorBidi" w:cstheme="majorBidi"/>
          <w:szCs w:val="24"/>
          <w:lang w:val="en-US"/>
        </w:rPr>
      </w:pPr>
    </w:p>
    <w:p w14:paraId="2E342789" w14:textId="364DC53D" w:rsidR="00ED0E66" w:rsidRDefault="00ED0E66" w:rsidP="00857AC8">
      <w:pPr>
        <w:spacing w:line="360" w:lineRule="auto"/>
        <w:rPr>
          <w:rFonts w:asciiTheme="majorBidi" w:hAnsiTheme="majorBidi" w:cstheme="majorBidi"/>
          <w:szCs w:val="24"/>
          <w:lang w:val="en-US"/>
        </w:rPr>
      </w:pPr>
    </w:p>
    <w:p w14:paraId="3A61F129" w14:textId="77777777" w:rsidR="00ED0E66" w:rsidRDefault="00ED0E66" w:rsidP="00857AC8">
      <w:pPr>
        <w:spacing w:line="360" w:lineRule="auto"/>
        <w:rPr>
          <w:rFonts w:asciiTheme="majorBidi" w:hAnsiTheme="majorBidi" w:cstheme="majorBidi"/>
          <w:szCs w:val="24"/>
          <w:lang w:val="en-US"/>
        </w:rPr>
      </w:pPr>
    </w:p>
    <w:p w14:paraId="41356423" w14:textId="77777777" w:rsidR="00ED0E66" w:rsidRDefault="00ED0E66" w:rsidP="00857AC8">
      <w:pPr>
        <w:spacing w:line="360" w:lineRule="auto"/>
        <w:rPr>
          <w:rFonts w:asciiTheme="majorBidi" w:hAnsiTheme="majorBidi" w:cstheme="majorBidi"/>
          <w:szCs w:val="24"/>
          <w:lang w:val="en-US"/>
        </w:rPr>
      </w:pPr>
    </w:p>
    <w:p w14:paraId="724F6E0E" w14:textId="77777777" w:rsidR="00B15A02" w:rsidRPr="00ED0E66" w:rsidRDefault="00B15A02" w:rsidP="00857AC8">
      <w:pPr>
        <w:spacing w:line="360" w:lineRule="auto"/>
        <w:rPr>
          <w:rFonts w:asciiTheme="majorBidi" w:hAnsiTheme="majorBidi" w:cstheme="majorBidi"/>
          <w:szCs w:val="24"/>
          <w:lang w:val="en-US"/>
        </w:rPr>
      </w:pPr>
    </w:p>
    <w:p w14:paraId="3047DB5E" w14:textId="724EEC94" w:rsidR="009B7F57" w:rsidRDefault="00ED0E66" w:rsidP="00A253E4">
      <w:pPr>
        <w:pStyle w:val="Heading2"/>
        <w:rPr>
          <w:lang w:val="en-US"/>
        </w:rPr>
      </w:pPr>
      <w:bookmarkStart w:id="37" w:name="_Toc200973175"/>
      <w:r w:rsidRPr="00ED0E66">
        <w:rPr>
          <w:lang w:val="en-US"/>
        </w:rPr>
        <w:t>4.2 Model diagnostics</w:t>
      </w:r>
      <w:bookmarkEnd w:id="37"/>
    </w:p>
    <w:p w14:paraId="48D1D5B8" w14:textId="3500CB10" w:rsidR="00A253E4" w:rsidRPr="00A253E4" w:rsidRDefault="00A253E4" w:rsidP="00A253E4">
      <w:pPr>
        <w:rPr>
          <w:sz w:val="2"/>
          <w:szCs w:val="2"/>
          <w:lang w:val="en-US"/>
        </w:rPr>
      </w:pPr>
      <w:r w:rsidRPr="00A253E4">
        <w:rPr>
          <w:sz w:val="2"/>
          <w:szCs w:val="2"/>
          <w:lang w:val="en-US"/>
        </w:rPr>
        <w:t>.</w:t>
      </w:r>
    </w:p>
    <w:p w14:paraId="2CD62CC7" w14:textId="5C11710D" w:rsidR="00ED0E66" w:rsidRPr="00ED0E66" w:rsidRDefault="00F05652" w:rsidP="009B7F57">
      <w:pPr>
        <w:spacing w:line="360" w:lineRule="auto"/>
        <w:jc w:val="both"/>
        <w:rPr>
          <w:rFonts w:asciiTheme="majorBidi" w:hAnsiTheme="majorBidi" w:cstheme="majorBidi"/>
          <w:szCs w:val="24"/>
          <w:lang w:val="en-US"/>
        </w:rPr>
      </w:pPr>
      <w:r w:rsidRPr="00F05652">
        <w:rPr>
          <w:rFonts w:asciiTheme="majorBidi" w:hAnsiTheme="majorBidi" w:cstheme="majorBidi"/>
          <w:szCs w:val="24"/>
          <w:lang w:val="en-US"/>
        </w:rPr>
        <w:t>Once the model is estimated, the next step is to make sure it works properly. This section checks whether the VAR model behaves the way it should. The residuals</w:t>
      </w:r>
      <w:r w:rsidR="009B7F57">
        <w:rPr>
          <w:rFonts w:asciiTheme="majorBidi" w:hAnsiTheme="majorBidi" w:cstheme="majorBidi"/>
          <w:szCs w:val="24"/>
          <w:lang w:val="en-US"/>
        </w:rPr>
        <w:t xml:space="preserve"> </w:t>
      </w:r>
      <w:r w:rsidRPr="00F05652">
        <w:rPr>
          <w:rFonts w:asciiTheme="majorBidi" w:hAnsiTheme="majorBidi" w:cstheme="majorBidi"/>
          <w:szCs w:val="24"/>
          <w:lang w:val="en-US"/>
        </w:rPr>
        <w:t>what’s left after the model explains what it can</w:t>
      </w:r>
      <w:r w:rsidR="009B7F57">
        <w:rPr>
          <w:rFonts w:asciiTheme="majorBidi" w:hAnsiTheme="majorBidi" w:cstheme="majorBidi"/>
          <w:szCs w:val="24"/>
          <w:lang w:val="en-US"/>
        </w:rPr>
        <w:t xml:space="preserve"> </w:t>
      </w:r>
      <w:r w:rsidRPr="00F05652">
        <w:rPr>
          <w:rFonts w:asciiTheme="majorBidi" w:hAnsiTheme="majorBidi" w:cstheme="majorBidi"/>
          <w:szCs w:val="24"/>
          <w:lang w:val="en-US"/>
        </w:rPr>
        <w:t xml:space="preserve">are examined to ensure they don’t show patterns or correlations that would undermine the model’s credibility. Tests confirm that the model is stable, its errors are well-behaved, and the variables interact in ways that make sense for interpreting shocks. </w:t>
      </w:r>
    </w:p>
    <w:p w14:paraId="688A7163" w14:textId="2F2B1E23" w:rsidR="00ED0E66" w:rsidRDefault="00ED0E66" w:rsidP="001A12D7">
      <w:pPr>
        <w:spacing w:line="360" w:lineRule="auto"/>
        <w:rPr>
          <w:rFonts w:asciiTheme="majorBidi" w:hAnsiTheme="majorBidi" w:cstheme="majorBidi"/>
          <w:b/>
          <w:bCs/>
          <w:szCs w:val="24"/>
          <w:lang w:val="en-US"/>
        </w:rPr>
      </w:pPr>
      <w:r w:rsidRPr="00ED0E66">
        <w:rPr>
          <w:rFonts w:asciiTheme="majorBidi" w:hAnsiTheme="majorBidi" w:cstheme="majorBidi"/>
          <w:b/>
          <w:bCs/>
          <w:szCs w:val="24"/>
          <w:lang w:val="en-US"/>
        </w:rPr>
        <w:t>4.3 Full-sample coefficients</w:t>
      </w:r>
    </w:p>
    <w:p w14:paraId="5080BF04" w14:textId="16A2C6A7" w:rsidR="001A12D7" w:rsidRPr="001A12D7" w:rsidRDefault="001A12D7" w:rsidP="001A12D7">
      <w:pPr>
        <w:spacing w:line="360" w:lineRule="auto"/>
        <w:jc w:val="both"/>
        <w:rPr>
          <w:rFonts w:asciiTheme="majorBidi" w:hAnsiTheme="majorBidi" w:cstheme="majorBidi"/>
          <w:szCs w:val="24"/>
          <w:lang w:val="en-US"/>
        </w:rPr>
      </w:pPr>
      <w:r w:rsidRPr="001A12D7">
        <w:rPr>
          <w:rFonts w:asciiTheme="majorBidi" w:hAnsiTheme="majorBidi" w:cstheme="majorBidi"/>
          <w:szCs w:val="24"/>
        </w:rPr>
        <w:t>The analysis reveals an interesting pattern</w:t>
      </w:r>
      <w:r>
        <w:rPr>
          <w:rFonts w:asciiTheme="majorBidi" w:hAnsiTheme="majorBidi" w:cstheme="majorBidi"/>
          <w:szCs w:val="24"/>
        </w:rPr>
        <w:t xml:space="preserve"> , </w:t>
      </w:r>
      <w:r w:rsidRPr="001A12D7">
        <w:rPr>
          <w:rFonts w:asciiTheme="majorBidi" w:hAnsiTheme="majorBidi" w:cstheme="majorBidi"/>
          <w:szCs w:val="24"/>
        </w:rPr>
        <w:t xml:space="preserve">when there’s a surge in private lending, the exchange rate tends to respond a couple of months later. Specifically, about eight weeks after credit expands, the rupee shows a slight weakening. This suggests that increased borrowing may be </w:t>
      </w:r>
      <w:r w:rsidRPr="001A12D7">
        <w:rPr>
          <w:rFonts w:asciiTheme="majorBidi" w:hAnsiTheme="majorBidi" w:cstheme="majorBidi"/>
          <w:szCs w:val="24"/>
        </w:rPr>
        <w:t>fuelling</w:t>
      </w:r>
      <w:r w:rsidRPr="001A12D7">
        <w:rPr>
          <w:rFonts w:asciiTheme="majorBidi" w:hAnsiTheme="majorBidi" w:cstheme="majorBidi"/>
          <w:szCs w:val="24"/>
        </w:rPr>
        <w:t xml:space="preserve"> higher imports, which, in turn, puts pressure on the currency and widens the trade gap. On the lending side, the data shows a kind of rhythm. Lending activity tends to pull back slightly in the following fortnight, almost like it’s correcting itself  a short-term mean reversion. But beyond that, there’s a deeper pattern</w:t>
      </w:r>
      <w:r>
        <w:rPr>
          <w:rFonts w:asciiTheme="majorBidi" w:hAnsiTheme="majorBidi" w:cstheme="majorBidi"/>
          <w:szCs w:val="24"/>
        </w:rPr>
        <w:t xml:space="preserve"> , </w:t>
      </w:r>
      <w:r w:rsidRPr="001A12D7">
        <w:rPr>
          <w:rFonts w:asciiTheme="majorBidi" w:hAnsiTheme="majorBidi" w:cstheme="majorBidi"/>
          <w:szCs w:val="24"/>
        </w:rPr>
        <w:t>lending seems to move in waves, with noticeable positive effects showing up every 14 weeks. It’s as if the credit system has its own “breathing” cycle  expanding and contracting in a regular rhythm. What it means on a big-picture is that the full-sample VAR estimation reveals that when credit unexpectedly increases, the exchange rate tends to depreciate about four weeks later. However, the reverse is not true changes in the exchange rate don’t significantly affect credit levels. This asymmetry reinforces one of the core messages of the thesis, credit can act as an early signal of financial stress in the currency market. This insight is important for regulators and analysts because it provides a practical tool monitoring credit trend that could help anticipate future financial instability.</w:t>
      </w:r>
    </w:p>
    <w:p w14:paraId="494EDE22" w14:textId="77777777" w:rsidR="009B7F57" w:rsidRPr="00ED0E66" w:rsidRDefault="009B7F57" w:rsidP="00857AC8">
      <w:pPr>
        <w:spacing w:line="360" w:lineRule="auto"/>
        <w:rPr>
          <w:rFonts w:asciiTheme="majorBidi" w:hAnsiTheme="majorBidi" w:cstheme="majorBidi"/>
          <w:szCs w:val="24"/>
          <w:lang w:val="en-US"/>
        </w:rPr>
      </w:pPr>
    </w:p>
    <w:p w14:paraId="222CD6FE" w14:textId="77777777" w:rsidR="00ED0E66" w:rsidRDefault="00ED0E66" w:rsidP="004B5321">
      <w:pPr>
        <w:pStyle w:val="Heading2"/>
        <w:rPr>
          <w:lang w:val="en-US"/>
        </w:rPr>
      </w:pPr>
      <w:bookmarkStart w:id="38" w:name="_Toc200973176"/>
      <w:r w:rsidRPr="00ED0E66">
        <w:rPr>
          <w:lang w:val="en-US"/>
        </w:rPr>
        <w:t>4.4 Impulse-response functions</w:t>
      </w:r>
      <w:bookmarkEnd w:id="38"/>
    </w:p>
    <w:p w14:paraId="1055DF9B" w14:textId="20C1487E" w:rsidR="009B7F57" w:rsidRPr="009B7F57" w:rsidRDefault="009B7F57" w:rsidP="009B7F57">
      <w:pPr>
        <w:rPr>
          <w:sz w:val="2"/>
          <w:szCs w:val="2"/>
          <w:lang w:val="en-US"/>
        </w:rPr>
      </w:pPr>
      <w:r w:rsidRPr="009B7F57">
        <w:rPr>
          <w:sz w:val="2"/>
          <w:szCs w:val="2"/>
          <w:lang w:val="en-US"/>
        </w:rPr>
        <w:t>.</w:t>
      </w:r>
    </w:p>
    <w:p w14:paraId="2D409F59" w14:textId="64D01972" w:rsidR="00ED0E66" w:rsidRPr="00ED0E66" w:rsidRDefault="00ED0E66"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Credit → FX (β shock)</w:t>
      </w:r>
      <w:r w:rsidRPr="00ED0E66">
        <w:rPr>
          <w:rFonts w:asciiTheme="majorBidi" w:hAnsiTheme="majorBidi" w:cstheme="majorBidi"/>
          <w:szCs w:val="24"/>
          <w:lang w:val="en-US"/>
        </w:rPr>
        <w:t xml:space="preserve"> – One-σ credit tightening depreciates the rupee by ~0.4 % for six months before </w:t>
      </w:r>
      <w:r w:rsidR="00497757" w:rsidRPr="00ED0E66">
        <w:rPr>
          <w:rFonts w:asciiTheme="majorBidi" w:hAnsiTheme="majorBidi" w:cstheme="majorBidi"/>
          <w:szCs w:val="24"/>
          <w:lang w:val="en-US"/>
        </w:rPr>
        <w:t>fading.</w:t>
      </w:r>
    </w:p>
    <w:p w14:paraId="232DE157" w14:textId="18C04641" w:rsidR="00ED0E66" w:rsidRPr="00ED0E66" w:rsidRDefault="00ED0E66" w:rsidP="009B7F57">
      <w:pPr>
        <w:spacing w:line="360" w:lineRule="auto"/>
        <w:jc w:val="both"/>
        <w:rPr>
          <w:rFonts w:asciiTheme="majorBidi" w:hAnsiTheme="majorBidi" w:cstheme="majorBidi"/>
          <w:szCs w:val="24"/>
          <w:lang w:val="en-US"/>
        </w:rPr>
      </w:pPr>
      <w:r w:rsidRPr="009B7F57">
        <w:rPr>
          <w:rFonts w:asciiTheme="majorBidi" w:hAnsiTheme="majorBidi" w:cstheme="majorBidi"/>
          <w:szCs w:val="24"/>
          <w:lang w:val="en-US"/>
        </w:rPr>
        <w:t>FX → Credit (γ shock</w:t>
      </w:r>
      <w:r w:rsidRPr="00ED0E66">
        <w:rPr>
          <w:rFonts w:asciiTheme="majorBidi" w:hAnsiTheme="majorBidi" w:cstheme="majorBidi"/>
          <w:b/>
          <w:bCs/>
          <w:szCs w:val="24"/>
          <w:lang w:val="en-US"/>
        </w:rPr>
        <w:t>)</w:t>
      </w:r>
      <w:r w:rsidRPr="00ED0E66">
        <w:rPr>
          <w:rFonts w:asciiTheme="majorBidi" w:hAnsiTheme="majorBidi" w:cstheme="majorBidi"/>
          <w:szCs w:val="24"/>
          <w:lang w:val="en-US"/>
        </w:rPr>
        <w:t xml:space="preserve"> – FX shocks have transient, statistically weak effects on lending; bands straddle zero </w:t>
      </w:r>
      <w:r w:rsidR="00497757" w:rsidRPr="00ED0E66">
        <w:rPr>
          <w:rFonts w:asciiTheme="majorBidi" w:hAnsiTheme="majorBidi" w:cstheme="majorBidi"/>
          <w:szCs w:val="24"/>
          <w:lang w:val="en-US"/>
        </w:rPr>
        <w:t>throughout.</w:t>
      </w:r>
    </w:p>
    <w:p w14:paraId="25CD8472" w14:textId="6C1A477A" w:rsidR="00ED0E66" w:rsidRPr="00ED0E66" w:rsidRDefault="00ED0E66" w:rsidP="009B7F57">
      <w:pPr>
        <w:spacing w:line="360" w:lineRule="auto"/>
        <w:jc w:val="both"/>
        <w:rPr>
          <w:rFonts w:asciiTheme="majorBidi" w:hAnsiTheme="majorBidi" w:cstheme="majorBidi"/>
          <w:szCs w:val="24"/>
          <w:lang w:val="en-US"/>
        </w:rPr>
      </w:pPr>
      <w:r w:rsidRPr="00ED0E66">
        <w:rPr>
          <w:rFonts w:asciiTheme="majorBidi" w:hAnsiTheme="majorBidi" w:cstheme="majorBidi"/>
          <w:szCs w:val="24"/>
          <w:lang w:val="en-US"/>
        </w:rPr>
        <w:t xml:space="preserve">The asymmetric IRFs corroborate Hypothesis 2 (credit shocks </w:t>
      </w:r>
      <w:r w:rsidR="00497757" w:rsidRPr="00ED0E66">
        <w:rPr>
          <w:rFonts w:asciiTheme="majorBidi" w:hAnsiTheme="majorBidi" w:cstheme="majorBidi"/>
          <w:szCs w:val="24"/>
          <w:lang w:val="en-US"/>
        </w:rPr>
        <w:t>destabilize</w:t>
      </w:r>
      <w:r w:rsidRPr="00ED0E66">
        <w:rPr>
          <w:rFonts w:asciiTheme="majorBidi" w:hAnsiTheme="majorBidi" w:cstheme="majorBidi"/>
          <w:szCs w:val="24"/>
          <w:lang w:val="en-US"/>
        </w:rPr>
        <w:t xml:space="preserve"> FX) while refuting Hypothesis 1 (persistent INR weakness fuels credit booms).</w:t>
      </w:r>
    </w:p>
    <w:p w14:paraId="585ECB33" w14:textId="77777777" w:rsidR="00ED0E66" w:rsidRPr="00ED0E66" w:rsidRDefault="00ED0E66" w:rsidP="0036128C">
      <w:pPr>
        <w:pStyle w:val="Heading2"/>
        <w:spacing w:line="360" w:lineRule="auto"/>
        <w:rPr>
          <w:b w:val="0"/>
          <w:lang w:val="en-US"/>
        </w:rPr>
      </w:pPr>
      <w:bookmarkStart w:id="39" w:name="_Toc200973177"/>
      <w:r w:rsidRPr="00ED0E66">
        <w:rPr>
          <w:lang w:val="en-US"/>
        </w:rPr>
        <w:lastRenderedPageBreak/>
        <w:t>4.5 Rolling-window evidence</w:t>
      </w:r>
      <w:bookmarkEnd w:id="39"/>
    </w:p>
    <w:p w14:paraId="52503101" w14:textId="0884DCE1" w:rsidR="00ED0E66" w:rsidRPr="009B7F57" w:rsidRDefault="00ED0E66" w:rsidP="009B7F57">
      <w:pPr>
        <w:spacing w:line="360" w:lineRule="auto"/>
        <w:jc w:val="both"/>
        <w:rPr>
          <w:rFonts w:asciiTheme="majorBidi" w:eastAsiaTheme="minorEastAsia" w:hAnsiTheme="majorBidi" w:cstheme="majorBidi"/>
          <w:szCs w:val="24"/>
          <w:lang w:val="en-US"/>
        </w:rPr>
      </w:pPr>
      <w:r w:rsidRPr="00ED0E66">
        <w:rPr>
          <w:rFonts w:asciiTheme="majorBidi" w:hAnsiTheme="majorBidi" w:cstheme="majorBidi"/>
          <w:szCs w:val="24"/>
          <w:lang w:val="en-US"/>
        </w:rPr>
        <w:t xml:space="preserve">Figure 4-2 (not reproduced here) shows </w:t>
      </w:r>
      <m:oMath>
        <m:sSub>
          <m:sSubPr>
            <m:ctrlPr>
              <w:rPr>
                <w:rFonts w:ascii="Cambria Math" w:hAnsi="Cambria Math" w:cstheme="majorBidi"/>
                <w:i/>
                <w:szCs w:val="24"/>
                <w:lang w:val="en-US"/>
              </w:rPr>
            </m:ctrlPr>
          </m:sSubPr>
          <m:e>
            <m:r>
              <m:rPr>
                <m:sty m:val="p"/>
              </m:rPr>
              <w:rPr>
                <w:rFonts w:ascii="Cambria Math" w:hAnsi="Cambria Math" w:cstheme="majorBidi"/>
                <w:szCs w:val="24"/>
                <w:lang w:val="en-US"/>
              </w:rPr>
              <m:t>β</m:t>
            </m:r>
            <m:ctrlPr>
              <w:rPr>
                <w:rFonts w:ascii="Cambria Math" w:hAnsi="Cambria Math" w:cstheme="majorBidi"/>
                <w:szCs w:val="24"/>
                <w:lang w:val="en-US"/>
              </w:rPr>
            </m:ctrlPr>
          </m:e>
          <m:sub>
            <m:r>
              <w:rPr>
                <w:rFonts w:ascii="Cambria Math" w:hAnsi="Cambria Math" w:cstheme="majorBidi"/>
                <w:szCs w:val="24"/>
                <w:lang w:val="en-US"/>
              </w:rPr>
              <m:t>t</m:t>
            </m:r>
          </m:sub>
        </m:sSub>
      </m:oMath>
      <w:r w:rsidR="00BB2948">
        <w:rPr>
          <w:rFonts w:asciiTheme="majorBidi" w:eastAsiaTheme="minorEastAsia" w:hAnsiTheme="majorBidi" w:cstheme="majorBidi"/>
          <w:szCs w:val="24"/>
          <w:lang w:val="en-US"/>
        </w:rPr>
        <w:t xml:space="preserve"> </w:t>
      </w:r>
      <w:r w:rsidRPr="00ED0E66">
        <w:rPr>
          <w:rFonts w:asciiTheme="majorBidi" w:hAnsiTheme="majorBidi" w:cstheme="majorBidi"/>
          <w:szCs w:val="24"/>
          <w:lang w:val="en-US"/>
        </w:rPr>
        <w:t>trending downward from mid-2019, plunging outside the 95 % CUSUM band on </w:t>
      </w:r>
      <w:r w:rsidRPr="00ED0E66">
        <w:rPr>
          <w:rFonts w:asciiTheme="majorBidi" w:hAnsiTheme="majorBidi" w:cstheme="majorBidi"/>
          <w:b/>
          <w:bCs/>
          <w:szCs w:val="24"/>
          <w:lang w:val="en-US"/>
        </w:rPr>
        <w:t>17 Jan 2020</w:t>
      </w:r>
      <w:r w:rsidRPr="00ED0E66">
        <w:rPr>
          <w:rFonts w:asciiTheme="majorBidi" w:hAnsiTheme="majorBidi" w:cstheme="majorBidi"/>
          <w:szCs w:val="24"/>
          <w:lang w:val="en-US"/>
        </w:rPr>
        <w:t xml:space="preserve">; </w:t>
      </w:r>
      <w:r w:rsidR="008D3A14">
        <w:rPr>
          <w:rFonts w:asciiTheme="majorBidi" w:hAnsiTheme="majorBidi" w:cstheme="majorBidi"/>
          <w:szCs w:val="24"/>
          <w:lang w:val="en-US"/>
        </w:rPr>
        <w:t xml:space="preserve"> </w:t>
      </w:r>
      <m:oMath>
        <m:sSub>
          <m:sSubPr>
            <m:ctrlPr>
              <w:rPr>
                <w:rFonts w:ascii="Cambria Math" w:hAnsi="Cambria Math" w:cstheme="majorBidi"/>
                <w:i/>
                <w:szCs w:val="24"/>
                <w:lang w:val="en-US"/>
              </w:rPr>
            </m:ctrlPr>
          </m:sSubPr>
          <m:e>
            <m:r>
              <m:rPr>
                <m:sty m:val="p"/>
              </m:rPr>
              <w:rPr>
                <w:rFonts w:ascii="Cambria Math" w:hAnsi="Cambria Math" w:cstheme="majorBidi"/>
                <w:szCs w:val="24"/>
                <w:lang w:val="en-US"/>
              </w:rPr>
              <m:t>γ</m:t>
            </m:r>
            <m:ctrlPr>
              <w:rPr>
                <w:rFonts w:ascii="Cambria Math" w:hAnsi="Cambria Math" w:cstheme="majorBidi"/>
                <w:szCs w:val="24"/>
                <w:lang w:val="en-US"/>
              </w:rPr>
            </m:ctrlPr>
          </m:e>
          <m:sub>
            <m:r>
              <w:rPr>
                <w:rFonts w:ascii="Cambria Math" w:hAnsi="Cambria Math" w:cstheme="majorBidi"/>
                <w:szCs w:val="24"/>
                <w:lang w:val="en-US"/>
              </w:rPr>
              <m:t>t</m:t>
            </m:r>
          </m:sub>
        </m:sSub>
      </m:oMath>
      <w:r w:rsidR="008D3A14">
        <w:rPr>
          <w:rFonts w:asciiTheme="majorBidi" w:eastAsiaTheme="minorEastAsia" w:hAnsiTheme="majorBidi" w:cstheme="majorBidi"/>
          <w:szCs w:val="24"/>
          <w:lang w:val="en-US"/>
        </w:rPr>
        <w:t xml:space="preserve"> </w:t>
      </w:r>
      <w:r w:rsidRPr="00ED0E66">
        <w:rPr>
          <w:rFonts w:asciiTheme="majorBidi" w:hAnsiTheme="majorBidi" w:cstheme="majorBidi"/>
          <w:szCs w:val="24"/>
          <w:lang w:val="en-US"/>
        </w:rPr>
        <w:t xml:space="preserve">breaks in the same window but with a smaller magnitude. No break aligns with the 2013 taper tantrum or the 2018 NBFC liquidity </w:t>
      </w:r>
      <w:r w:rsidR="00B15A02" w:rsidRPr="00ED0E66">
        <w:rPr>
          <w:rFonts w:asciiTheme="majorBidi" w:hAnsiTheme="majorBidi" w:cstheme="majorBidi"/>
          <w:szCs w:val="24"/>
          <w:lang w:val="en-US"/>
        </w:rPr>
        <w:t>crunch.</w:t>
      </w:r>
    </w:p>
    <w:p w14:paraId="6974E2C8" w14:textId="77777777" w:rsidR="00ED0E66" w:rsidRPr="00ED0E66" w:rsidRDefault="00ED0E66" w:rsidP="0036128C">
      <w:pPr>
        <w:pStyle w:val="Heading2"/>
        <w:spacing w:line="360" w:lineRule="auto"/>
        <w:rPr>
          <w:b w:val="0"/>
          <w:lang w:val="en-US"/>
        </w:rPr>
      </w:pPr>
      <w:bookmarkStart w:id="40" w:name="_Toc200973178"/>
      <w:r w:rsidRPr="00ED0E66">
        <w:rPr>
          <w:lang w:val="en-US"/>
        </w:rPr>
        <w:t>4.6 Crisis alignment</w:t>
      </w:r>
      <w:bookmarkEnd w:id="40"/>
    </w:p>
    <w:p w14:paraId="0B0C2F37" w14:textId="71ACAD65" w:rsidR="00ED0E66" w:rsidRPr="00ED0E66" w:rsidRDefault="00ED0E66" w:rsidP="009B7F57">
      <w:pPr>
        <w:spacing w:line="360" w:lineRule="auto"/>
        <w:jc w:val="both"/>
        <w:rPr>
          <w:rFonts w:asciiTheme="majorBidi" w:hAnsiTheme="majorBidi" w:cstheme="majorBidi"/>
          <w:szCs w:val="24"/>
          <w:lang w:val="en-US"/>
        </w:rPr>
      </w:pPr>
      <w:r w:rsidRPr="00ED0E66">
        <w:rPr>
          <w:rFonts w:asciiTheme="majorBidi" w:hAnsiTheme="majorBidi" w:cstheme="majorBidi"/>
          <w:szCs w:val="24"/>
          <w:lang w:val="en-US"/>
        </w:rPr>
        <w:t>Applying the ±90-day rule yields a continuous flagged span </w:t>
      </w:r>
      <w:r w:rsidRPr="00ED0E66">
        <w:rPr>
          <w:rFonts w:asciiTheme="majorBidi" w:hAnsiTheme="majorBidi" w:cstheme="majorBidi"/>
          <w:b/>
          <w:bCs/>
          <w:szCs w:val="24"/>
          <w:lang w:val="en-US"/>
        </w:rPr>
        <w:t>Jan–May 2020</w:t>
      </w:r>
      <w:r w:rsidRPr="00ED0E66">
        <w:rPr>
          <w:rFonts w:asciiTheme="majorBidi" w:hAnsiTheme="majorBidi" w:cstheme="majorBidi"/>
          <w:szCs w:val="24"/>
          <w:lang w:val="en-US"/>
        </w:rPr>
        <w:t xml:space="preserve">, fully bracketing the COVID-19 sell-off; nothing comparable appears around earlier </w:t>
      </w:r>
      <w:r w:rsidR="00497757" w:rsidRPr="00ED0E66">
        <w:rPr>
          <w:rFonts w:asciiTheme="majorBidi" w:hAnsiTheme="majorBidi" w:cstheme="majorBidi"/>
          <w:szCs w:val="24"/>
          <w:lang w:val="en-US"/>
        </w:rPr>
        <w:t>episodes.</w:t>
      </w:r>
      <w:r w:rsidRPr="00ED0E66">
        <w:rPr>
          <w:rFonts w:asciiTheme="majorBidi" w:hAnsiTheme="majorBidi" w:cstheme="majorBidi"/>
          <w:szCs w:val="24"/>
          <w:lang w:val="en-US"/>
        </w:rPr>
        <w:t xml:space="preserve"> The evidence implies that </w:t>
      </w:r>
      <w:r w:rsidRPr="00A253E4">
        <w:rPr>
          <w:rFonts w:asciiTheme="majorBidi" w:hAnsiTheme="majorBidi" w:cstheme="majorBidi"/>
          <w:szCs w:val="24"/>
          <w:lang w:val="en-US"/>
        </w:rPr>
        <w:t>system-wide liquidity shocks</w:t>
      </w:r>
      <w:r w:rsidRPr="00ED0E66">
        <w:rPr>
          <w:rFonts w:asciiTheme="majorBidi" w:hAnsiTheme="majorBidi" w:cstheme="majorBidi"/>
          <w:szCs w:val="24"/>
          <w:lang w:val="en-US"/>
        </w:rPr>
        <w:t>, not policy or firm-specific events, are necessary to flip the credit-to-FX transmission mechanism.</w:t>
      </w:r>
    </w:p>
    <w:p w14:paraId="6D7C1803" w14:textId="77777777" w:rsidR="00ED0E66" w:rsidRPr="00ED0E66" w:rsidRDefault="00ED0E66" w:rsidP="0036128C">
      <w:pPr>
        <w:pStyle w:val="Heading2"/>
        <w:spacing w:line="360" w:lineRule="auto"/>
        <w:rPr>
          <w:b w:val="0"/>
          <w:lang w:val="en-US"/>
        </w:rPr>
      </w:pPr>
      <w:bookmarkStart w:id="41" w:name="_Toc200973179"/>
      <w:r w:rsidRPr="00ED0E66">
        <w:rPr>
          <w:lang w:val="en-US"/>
        </w:rPr>
        <w:t>4.7 Forecast performance</w:t>
      </w:r>
      <w:bookmarkEnd w:id="41"/>
    </w:p>
    <w:p w14:paraId="711D337C" w14:textId="473505D0" w:rsidR="009B7F57" w:rsidRPr="009B7F57" w:rsidRDefault="00ED0E66" w:rsidP="009B7F57">
      <w:pPr>
        <w:spacing w:line="360" w:lineRule="auto"/>
        <w:jc w:val="both"/>
        <w:rPr>
          <w:rFonts w:asciiTheme="majorBidi" w:hAnsiTheme="majorBidi" w:cstheme="majorBidi"/>
          <w:szCs w:val="24"/>
          <w:lang w:val="en-US"/>
        </w:rPr>
      </w:pPr>
      <w:r w:rsidRPr="00ED0E66">
        <w:rPr>
          <w:rFonts w:asciiTheme="majorBidi" w:hAnsiTheme="majorBidi" w:cstheme="majorBidi"/>
          <w:szCs w:val="24"/>
          <w:lang w:val="en-US"/>
        </w:rPr>
        <w:t>Six-step-ahead out-of-sample tests (Nov 2024 – Apr 2025) show mean-absolute-error gains of 12 % over a naïve random-walk for ΔFX and 9 % for ΔPL, confirming practical forecasting value.</w:t>
      </w:r>
    </w:p>
    <w:p w14:paraId="4946BD87" w14:textId="769F7FF6" w:rsidR="00ED0E66" w:rsidRDefault="00ED0E66" w:rsidP="004B5321">
      <w:pPr>
        <w:pStyle w:val="Heading2"/>
        <w:rPr>
          <w:lang w:val="en-US"/>
        </w:rPr>
      </w:pPr>
      <w:bookmarkStart w:id="42" w:name="_Toc200973180"/>
      <w:r w:rsidRPr="00ED0E66">
        <w:rPr>
          <w:lang w:val="en-US"/>
        </w:rPr>
        <w:t>4.</w:t>
      </w:r>
      <w:r w:rsidR="0036128C">
        <w:rPr>
          <w:lang w:val="en-US"/>
        </w:rPr>
        <w:t xml:space="preserve">8 </w:t>
      </w:r>
      <w:r w:rsidRPr="00ED0E66">
        <w:rPr>
          <w:lang w:val="en-US"/>
        </w:rPr>
        <w:t>Synthesis of findings</w:t>
      </w:r>
      <w:bookmarkEnd w:id="42"/>
    </w:p>
    <w:p w14:paraId="4A44D2EC" w14:textId="4839C860" w:rsidR="009B7F57" w:rsidRPr="00E373AB" w:rsidRDefault="00E373AB" w:rsidP="009B7F57">
      <w:pPr>
        <w:rPr>
          <w:sz w:val="2"/>
          <w:szCs w:val="2"/>
          <w:lang w:val="en-US"/>
        </w:rPr>
      </w:pPr>
      <w:r w:rsidRPr="00E373AB">
        <w:rPr>
          <w:sz w:val="2"/>
          <w:szCs w:val="2"/>
          <w:lang w:val="en-US"/>
        </w:rPr>
        <w:t>.</w:t>
      </w:r>
    </w:p>
    <w:p w14:paraId="47C0AEBE" w14:textId="7A211483" w:rsidR="00ED0E66" w:rsidRPr="0036128C" w:rsidRDefault="00E373AB" w:rsidP="00E373AB">
      <w:pPr>
        <w:spacing w:line="360" w:lineRule="auto"/>
        <w:jc w:val="both"/>
        <w:rPr>
          <w:rFonts w:asciiTheme="majorBidi" w:hAnsiTheme="majorBidi" w:cstheme="majorBidi"/>
          <w:szCs w:val="24"/>
          <w:lang w:val="en-US"/>
        </w:rPr>
      </w:pPr>
      <w:r w:rsidRPr="00E373AB">
        <w:rPr>
          <w:rFonts w:asciiTheme="majorBidi" w:hAnsiTheme="majorBidi" w:cstheme="majorBidi"/>
          <w:szCs w:val="24"/>
        </w:rPr>
        <w:t>The results of this study reveal a clear directional link</w:t>
      </w:r>
      <w:r>
        <w:rPr>
          <w:rFonts w:asciiTheme="majorBidi" w:hAnsiTheme="majorBidi" w:cstheme="majorBidi"/>
          <w:szCs w:val="24"/>
        </w:rPr>
        <w:t xml:space="preserve"> , </w:t>
      </w:r>
      <w:r w:rsidRPr="00E373AB">
        <w:rPr>
          <w:rFonts w:asciiTheme="majorBidi" w:hAnsiTheme="majorBidi" w:cstheme="majorBidi"/>
          <w:szCs w:val="24"/>
        </w:rPr>
        <w:t xml:space="preserve"> credit expansions tend to lead currency movements, with lending surges consistently preceding rupee depreciation by roughly two months. However, this influence is not long-lasting</w:t>
      </w:r>
      <w:r>
        <w:rPr>
          <w:rFonts w:asciiTheme="majorBidi" w:hAnsiTheme="majorBidi" w:cstheme="majorBidi"/>
          <w:szCs w:val="24"/>
        </w:rPr>
        <w:t xml:space="preserve"> </w:t>
      </w:r>
      <w:r w:rsidRPr="00E373AB">
        <w:rPr>
          <w:rFonts w:asciiTheme="majorBidi" w:hAnsiTheme="majorBidi" w:cstheme="majorBidi"/>
          <w:szCs w:val="24"/>
        </w:rPr>
        <w:t xml:space="preserve">impulse response functions (IRFs) show that the effects fade within about six months, suggesting a short-lived but meaningful shock transmission. Notably, the stability of this relationship broke down in early 2020, when both β and γ coefficients shifted sharply, aligning with the COVID-19 liquidity crunch and highlighting a structural change in financial dynamics. From a practical standpoint, tracking the rolling credit-to-FX coefficient (βₜ) provides an early-warning signal, offering a three-month head start on looming exchange-rate stress. On a finer scale, the analysis uncovers a 14-week oscillation in credit </w:t>
      </w:r>
      <w:r w:rsidRPr="00E373AB">
        <w:rPr>
          <w:rFonts w:asciiTheme="majorBidi" w:hAnsiTheme="majorBidi" w:cstheme="majorBidi"/>
          <w:szCs w:val="24"/>
        </w:rPr>
        <w:t>behaviour</w:t>
      </w:r>
      <w:r>
        <w:rPr>
          <w:rFonts w:asciiTheme="majorBidi" w:hAnsiTheme="majorBidi" w:cstheme="majorBidi"/>
          <w:szCs w:val="24"/>
        </w:rPr>
        <w:t xml:space="preserve"> </w:t>
      </w:r>
      <w:r w:rsidRPr="00E373AB">
        <w:rPr>
          <w:rFonts w:asciiTheme="majorBidi" w:hAnsiTheme="majorBidi" w:cstheme="majorBidi"/>
          <w:szCs w:val="24"/>
        </w:rPr>
        <w:t>a kind of micro-cycle</w:t>
      </w:r>
      <w:r>
        <w:rPr>
          <w:rFonts w:asciiTheme="majorBidi" w:hAnsiTheme="majorBidi" w:cstheme="majorBidi"/>
          <w:szCs w:val="24"/>
        </w:rPr>
        <w:t xml:space="preserve"> </w:t>
      </w:r>
      <w:r w:rsidRPr="00E373AB">
        <w:rPr>
          <w:rFonts w:asciiTheme="majorBidi" w:hAnsiTheme="majorBidi" w:cstheme="majorBidi"/>
          <w:szCs w:val="24"/>
        </w:rPr>
        <w:t>that can serve as a quick-response alarm for supervisors and risk managers. Altogether, these insights lay the groundwork for a forward-looking crisis-prediction framework, bridging statistical rigor with actionable foresight. And perhaps most importantly, they show how a well-tuned model can help decision-makers catch warning signs early</w:t>
      </w:r>
      <w:r>
        <w:rPr>
          <w:rFonts w:asciiTheme="majorBidi" w:hAnsiTheme="majorBidi" w:cstheme="majorBidi"/>
          <w:szCs w:val="24"/>
        </w:rPr>
        <w:t xml:space="preserve"> </w:t>
      </w:r>
      <w:r w:rsidRPr="00E373AB">
        <w:rPr>
          <w:rFonts w:asciiTheme="majorBidi" w:hAnsiTheme="majorBidi" w:cstheme="majorBidi"/>
          <w:szCs w:val="24"/>
        </w:rPr>
        <w:t>before a temporary ripple becomes a systemic wave.</w:t>
      </w:r>
      <w:r w:rsidR="0036128C">
        <w:rPr>
          <w:rFonts w:asciiTheme="majorBidi" w:hAnsiTheme="majorBidi" w:cstheme="majorBidi"/>
          <w:szCs w:val="24"/>
          <w:lang w:val="en-US"/>
        </w:rPr>
        <w:br w:type="page"/>
      </w:r>
    </w:p>
    <w:p w14:paraId="75CC4AAD" w14:textId="42A4FEBD" w:rsidR="00513751" w:rsidRDefault="00513751" w:rsidP="0036128C">
      <w:pPr>
        <w:pStyle w:val="Heading1"/>
      </w:pPr>
      <w:bookmarkStart w:id="43" w:name="_Toc200973181"/>
      <w:r w:rsidRPr="004C39EB">
        <w:lastRenderedPageBreak/>
        <w:t>5 Discussion</w:t>
      </w:r>
      <w:bookmarkEnd w:id="43"/>
    </w:p>
    <w:p w14:paraId="3959B5CD" w14:textId="58917536" w:rsidR="00513751" w:rsidRPr="0036128C" w:rsidRDefault="00616546" w:rsidP="004E4EB2">
      <w:pPr>
        <w:spacing w:line="360" w:lineRule="auto"/>
        <w:jc w:val="both"/>
        <w:rPr>
          <w:sz w:val="2"/>
          <w:szCs w:val="2"/>
          <w:lang w:val="en-US" w:bidi="ar-SA"/>
        </w:rPr>
      </w:pPr>
      <w:proofErr w:type="gramStart"/>
      <w:r w:rsidRPr="00616546">
        <w:rPr>
          <w:sz w:val="2"/>
          <w:szCs w:val="2"/>
          <w:lang w:val="en-US" w:bidi="ar-SA"/>
        </w:rPr>
        <w:t>.</w:t>
      </w:r>
      <w:r w:rsidR="00513751" w:rsidRPr="00513751">
        <w:rPr>
          <w:lang w:val="en-US"/>
        </w:rPr>
        <w:t>This</w:t>
      </w:r>
      <w:proofErr w:type="gramEnd"/>
      <w:r w:rsidR="00513751" w:rsidRPr="00513751">
        <w:rPr>
          <w:lang w:val="en-US"/>
        </w:rPr>
        <w:t xml:space="preserve"> chapter stitches together the empirical results from Chapter 4 with the theoretical and empirical insights surveyed in Chapter 2. It now unfolds in four steps. Section 5.0.1 juxtaposes headline findings with the dominant themes in the global and India</w:t>
      </w:r>
      <w:r w:rsidR="00513751" w:rsidRPr="00513751">
        <w:rPr>
          <w:lang w:val="en-US"/>
        </w:rPr>
        <w:noBreakHyphen/>
        <w:t>specific literature, isolating points of convergence and divergence. Section 5.0.2 stress</w:t>
      </w:r>
      <w:r w:rsidR="00513751" w:rsidRPr="00513751">
        <w:rPr>
          <w:lang w:val="en-US"/>
        </w:rPr>
        <w:noBreakHyphen/>
        <w:t>tests those results with a battery of robustness checks. Section 5.1 teases out concrete managerial and policy implications, enriched with fresh, industry</w:t>
      </w:r>
      <w:r w:rsidR="00513751" w:rsidRPr="00513751">
        <w:rPr>
          <w:lang w:val="en-US"/>
        </w:rPr>
        <w:noBreakHyphen/>
        <w:t xml:space="preserve">specific vignettes. Section 5.2 </w:t>
      </w:r>
      <w:r w:rsidR="00497757" w:rsidRPr="00513751">
        <w:rPr>
          <w:lang w:val="en-US"/>
        </w:rPr>
        <w:t>recognizes</w:t>
      </w:r>
      <w:r w:rsidR="00513751" w:rsidRPr="00513751">
        <w:rPr>
          <w:lang w:val="en-US"/>
        </w:rPr>
        <w:t xml:space="preserve"> the boundaries of the current study and carves out avenues for future research.</w:t>
      </w:r>
    </w:p>
    <w:p w14:paraId="43EFF60A" w14:textId="77777777" w:rsidR="00A253E4" w:rsidRDefault="00513751" w:rsidP="00A253E4">
      <w:pPr>
        <w:pStyle w:val="Heading2"/>
        <w:spacing w:line="360" w:lineRule="auto"/>
        <w:rPr>
          <w:lang w:val="en-US"/>
        </w:rPr>
      </w:pPr>
      <w:bookmarkStart w:id="44" w:name="_Toc200973182"/>
      <w:r w:rsidRPr="00513751">
        <w:rPr>
          <w:lang w:val="en-US"/>
        </w:rPr>
        <w:t>5.0.1 Bridging Literature and Findings</w:t>
      </w:r>
      <w:bookmarkEnd w:id="44"/>
    </w:p>
    <w:p w14:paraId="7AEA2D6B" w14:textId="0112A927" w:rsidR="00453F9A" w:rsidRPr="00A253E4" w:rsidRDefault="00513751" w:rsidP="00A253E4">
      <w:pPr>
        <w:pStyle w:val="Heading2"/>
        <w:spacing w:line="360" w:lineRule="auto"/>
        <w:rPr>
          <w:bCs/>
          <w:lang w:val="en-US"/>
        </w:rPr>
      </w:pPr>
      <w:r w:rsidRPr="00A253E4">
        <w:rPr>
          <w:bCs/>
          <w:lang w:val="en-US"/>
        </w:rPr>
        <w:t>Credit</w:t>
      </w:r>
      <w:r w:rsidRPr="00A253E4">
        <w:rPr>
          <w:bCs/>
          <w:lang w:val="en-US"/>
        </w:rPr>
        <w:noBreakHyphen/>
        <w:t>to</w:t>
      </w:r>
      <w:r w:rsidRPr="00A253E4">
        <w:rPr>
          <w:bCs/>
          <w:lang w:val="en-US"/>
        </w:rPr>
        <w:noBreakHyphen/>
        <w:t>FX spill</w:t>
      </w:r>
      <w:r w:rsidRPr="00A253E4">
        <w:rPr>
          <w:bCs/>
          <w:lang w:val="en-US"/>
        </w:rPr>
        <w:noBreakHyphen/>
        <w:t>overs</w:t>
      </w:r>
      <w:r w:rsidR="00B15A02" w:rsidRPr="00A253E4">
        <w:rPr>
          <w:bCs/>
          <w:lang w:val="en-US"/>
        </w:rPr>
        <w:t xml:space="preserve"> </w:t>
      </w:r>
      <w:r w:rsidRPr="00A253E4">
        <w:rPr>
          <w:bCs/>
          <w:lang w:val="en-US"/>
        </w:rPr>
        <w:t xml:space="preserve">evidence for a short, sharp accelerator.   </w:t>
      </w:r>
    </w:p>
    <w:p w14:paraId="3C3651EE" w14:textId="3668BC60" w:rsidR="00513751" w:rsidRPr="00513751" w:rsidRDefault="00513751" w:rsidP="0036128C">
      <w:pPr>
        <w:spacing w:line="360" w:lineRule="auto"/>
        <w:jc w:val="both"/>
        <w:rPr>
          <w:lang w:val="en-US"/>
        </w:rPr>
      </w:pPr>
      <w:r w:rsidRPr="00513751">
        <w:rPr>
          <w:lang w:val="en-US"/>
        </w:rPr>
        <w:t>The rolling</w:t>
      </w:r>
      <w:r w:rsidRPr="00513751">
        <w:rPr>
          <w:lang w:val="en-US"/>
        </w:rPr>
        <w:noBreakHyphen/>
        <w:t>window VAR uncovers a statistically significant path running from private</w:t>
      </w:r>
      <w:r w:rsidRPr="00513751">
        <w:rPr>
          <w:lang w:val="en-US"/>
        </w:rPr>
        <w:noBreakHyphen/>
        <w:t>sector credit to rupee depreciation with a median two</w:t>
      </w:r>
      <w:r w:rsidRPr="00513751">
        <w:rPr>
          <w:lang w:val="en-US"/>
        </w:rPr>
        <w:noBreakHyphen/>
        <w:t xml:space="preserve">fortnight lag. This mirrors </w:t>
      </w:r>
      <w:proofErr w:type="spellStart"/>
      <w:r w:rsidRPr="00513751">
        <w:rPr>
          <w:lang w:val="en-US"/>
        </w:rPr>
        <w:t>Borio</w:t>
      </w:r>
      <w:proofErr w:type="spellEnd"/>
      <w:r w:rsidRPr="00513751">
        <w:rPr>
          <w:lang w:val="en-US"/>
        </w:rPr>
        <w:t xml:space="preserve"> and </w:t>
      </w:r>
      <w:proofErr w:type="spellStart"/>
      <w:r w:rsidRPr="00513751">
        <w:rPr>
          <w:lang w:val="en-US"/>
        </w:rPr>
        <w:t>Drehmann’s</w:t>
      </w:r>
      <w:proofErr w:type="spellEnd"/>
      <w:r w:rsidRPr="00513751">
        <w:rPr>
          <w:lang w:val="en-US"/>
        </w:rPr>
        <w:t xml:space="preserve"> (2009) credit</w:t>
      </w:r>
      <w:r w:rsidRPr="00513751">
        <w:rPr>
          <w:lang w:val="en-US"/>
        </w:rPr>
        <w:noBreakHyphen/>
        <w:t>gap thesis, which argues that buoyant lending softens perceived risk, thereby drawing in short</w:t>
      </w:r>
      <w:r w:rsidRPr="00513751">
        <w:rPr>
          <w:lang w:val="en-US"/>
        </w:rPr>
        <w:noBreakHyphen/>
        <w:t>term capital and nudging the currency upward until vulnerabilities snap back. In the Indian context we observe the same loop but on a compressed time scale</w:t>
      </w:r>
      <w:r w:rsidR="00B15A02">
        <w:rPr>
          <w:lang w:val="en-US"/>
        </w:rPr>
        <w:t xml:space="preserve"> </w:t>
      </w:r>
      <w:r w:rsidRPr="00513751">
        <w:rPr>
          <w:lang w:val="en-US"/>
        </w:rPr>
        <w:t>the </w:t>
      </w:r>
      <w:r w:rsidRPr="00513751">
        <w:rPr>
          <w:i/>
          <w:iCs/>
          <w:lang w:val="en-US"/>
        </w:rPr>
        <w:t>14</w:t>
      </w:r>
      <w:r w:rsidRPr="00513751">
        <w:rPr>
          <w:i/>
          <w:iCs/>
          <w:lang w:val="en-US"/>
        </w:rPr>
        <w:noBreakHyphen/>
        <w:t>week pulse</w:t>
      </w:r>
      <w:r w:rsidRPr="00513751">
        <w:rPr>
          <w:lang w:val="en-US"/>
        </w:rPr>
        <w:t>. The pulse is far shorter than the multi</w:t>
      </w:r>
      <w:r w:rsidRPr="00513751">
        <w:rPr>
          <w:lang w:val="en-US"/>
        </w:rPr>
        <w:noBreakHyphen/>
        <w:t>year financial cycles documented for advanced economies, suggesting that India’s hybrid banking–NBFC ecosystem transmits balance</w:t>
      </w:r>
      <w:r w:rsidRPr="00513751">
        <w:rPr>
          <w:lang w:val="en-US"/>
        </w:rPr>
        <w:noBreakHyphen/>
        <w:t>sheet stress more quickly.</w:t>
      </w:r>
    </w:p>
    <w:p w14:paraId="31A45ABF" w14:textId="77777777" w:rsidR="0036128C" w:rsidRDefault="00513751" w:rsidP="0036128C">
      <w:pPr>
        <w:spacing w:line="360" w:lineRule="auto"/>
        <w:rPr>
          <w:lang w:val="en-US"/>
        </w:rPr>
      </w:pPr>
      <w:r w:rsidRPr="00513751">
        <w:rPr>
          <w:b/>
          <w:bCs/>
          <w:lang w:val="en-US"/>
        </w:rPr>
        <w:t>Asymmetric FX</w:t>
      </w:r>
      <w:r w:rsidRPr="00513751">
        <w:rPr>
          <w:b/>
          <w:bCs/>
          <w:lang w:val="en-US"/>
        </w:rPr>
        <w:noBreakHyphen/>
        <w:t>to</w:t>
      </w:r>
      <w:r w:rsidRPr="00513751">
        <w:rPr>
          <w:b/>
          <w:bCs/>
          <w:lang w:val="en-US"/>
        </w:rPr>
        <w:noBreakHyphen/>
        <w:t>credit effects</w:t>
      </w:r>
      <w:r w:rsidR="00B15A02">
        <w:rPr>
          <w:b/>
          <w:bCs/>
          <w:lang w:val="en-US"/>
        </w:rPr>
        <w:t xml:space="preserve"> </w:t>
      </w:r>
      <w:r w:rsidRPr="00513751">
        <w:rPr>
          <w:b/>
          <w:bCs/>
          <w:lang w:val="en-US"/>
        </w:rPr>
        <w:t>partial insulation.</w:t>
      </w:r>
      <w:r w:rsidRPr="00513751">
        <w:rPr>
          <w:lang w:val="en-US"/>
        </w:rPr>
        <w:t xml:space="preserve">   </w:t>
      </w:r>
    </w:p>
    <w:p w14:paraId="0AF1DA86" w14:textId="3695F352" w:rsidR="00513751" w:rsidRPr="00513751" w:rsidRDefault="00513751" w:rsidP="004E4EB2">
      <w:pPr>
        <w:spacing w:line="360" w:lineRule="auto"/>
        <w:jc w:val="both"/>
        <w:rPr>
          <w:lang w:val="en-US"/>
        </w:rPr>
      </w:pPr>
      <w:r w:rsidRPr="00513751">
        <w:rPr>
          <w:lang w:val="en-US"/>
        </w:rPr>
        <w:t>The muted response of credit growth to exchange</w:t>
      </w:r>
      <w:r w:rsidRPr="00513751">
        <w:rPr>
          <w:lang w:val="en-US"/>
        </w:rPr>
        <w:noBreakHyphen/>
        <w:t>rate shocks stands in contrast to cross</w:t>
      </w:r>
      <w:r w:rsidRPr="00513751">
        <w:rPr>
          <w:lang w:val="en-US"/>
        </w:rPr>
        <w:noBreakHyphen/>
        <w:t>country panel evidence (Nier et al., 2020), where currency appreciations typically kindle lending booms. Three India</w:t>
      </w:r>
      <w:r w:rsidRPr="00513751">
        <w:rPr>
          <w:lang w:val="en-US"/>
        </w:rPr>
        <w:noBreakHyphen/>
        <w:t>specific factors explain the divergence: (</w:t>
      </w:r>
      <w:proofErr w:type="spellStart"/>
      <w:r w:rsidRPr="00513751">
        <w:rPr>
          <w:lang w:val="en-US"/>
        </w:rPr>
        <w:t>i</w:t>
      </w:r>
      <w:proofErr w:type="spellEnd"/>
      <w:r w:rsidRPr="00513751">
        <w:rPr>
          <w:lang w:val="en-US"/>
        </w:rPr>
        <w:t>) the RBI’s partial capital</w:t>
      </w:r>
      <w:r w:rsidRPr="00513751">
        <w:rPr>
          <w:lang w:val="en-US"/>
        </w:rPr>
        <w:noBreakHyphen/>
        <w:t xml:space="preserve">controls damper offshore arbitrage; (ii) formal banks’ reliance on domestic rather than foreign wholesale funding; and (iii) NBFCs’ growing use of </w:t>
      </w:r>
      <w:proofErr w:type="spellStart"/>
      <w:r w:rsidRPr="00513751">
        <w:rPr>
          <w:lang w:val="en-US"/>
        </w:rPr>
        <w:t>securitised</w:t>
      </w:r>
      <w:proofErr w:type="spellEnd"/>
      <w:r w:rsidRPr="00513751">
        <w:rPr>
          <w:lang w:val="en-US"/>
        </w:rPr>
        <w:t xml:space="preserve"> paper that is priced off domestic liquidity more than spot</w:t>
      </w:r>
      <w:r w:rsidRPr="00513751">
        <w:rPr>
          <w:lang w:val="en-US"/>
        </w:rPr>
        <w:noBreakHyphen/>
        <w:t>FX conditions. Put simply, the rupee can move without immediately rewriting lenders’ cost of funds.</w:t>
      </w:r>
    </w:p>
    <w:p w14:paraId="3C55E115" w14:textId="5E471F78" w:rsidR="00453F9A" w:rsidRDefault="00513751" w:rsidP="0036128C">
      <w:pPr>
        <w:spacing w:line="360" w:lineRule="auto"/>
        <w:rPr>
          <w:lang w:val="en-US"/>
        </w:rPr>
      </w:pPr>
      <w:r w:rsidRPr="00513751">
        <w:rPr>
          <w:b/>
          <w:bCs/>
          <w:lang w:val="en-US"/>
        </w:rPr>
        <w:t>Timing of structural breaks</w:t>
      </w:r>
      <w:r w:rsidR="00B15A02">
        <w:rPr>
          <w:b/>
          <w:bCs/>
          <w:lang w:val="en-US"/>
        </w:rPr>
        <w:t xml:space="preserve"> </w:t>
      </w:r>
      <w:r w:rsidRPr="00513751">
        <w:rPr>
          <w:b/>
          <w:bCs/>
          <w:lang w:val="en-US"/>
        </w:rPr>
        <w:t>systemic versus idiosyncratic shocks.</w:t>
      </w:r>
      <w:r w:rsidRPr="00513751">
        <w:rPr>
          <w:lang w:val="en-US"/>
        </w:rPr>
        <w:t> </w:t>
      </w:r>
    </w:p>
    <w:p w14:paraId="7B590FF5" w14:textId="631DAADB" w:rsidR="00513751" w:rsidRPr="00513751" w:rsidRDefault="00513751" w:rsidP="0036128C">
      <w:pPr>
        <w:spacing w:line="360" w:lineRule="auto"/>
        <w:jc w:val="both"/>
        <w:rPr>
          <w:lang w:val="en-US"/>
        </w:rPr>
      </w:pPr>
      <w:r w:rsidRPr="00513751">
        <w:rPr>
          <w:lang w:val="en-US"/>
        </w:rPr>
        <w:t>Neither the 2013 taper tantrum nor the 2018 IL&amp;FS debacle dented the VAR coefficients. Only the early</w:t>
      </w:r>
      <w:r w:rsidRPr="00513751">
        <w:rPr>
          <w:lang w:val="en-US"/>
        </w:rPr>
        <w:noBreakHyphen/>
        <w:t>2020 COVID</w:t>
      </w:r>
      <w:r w:rsidRPr="00513751">
        <w:rPr>
          <w:lang w:val="en-US"/>
        </w:rPr>
        <w:noBreakHyphen/>
        <w:t>19 liquidity freeze pushed the CUSUM statistics beyond their 95</w:t>
      </w:r>
      <w:r w:rsidRPr="00513751">
        <w:rPr>
          <w:lang w:val="en-US"/>
        </w:rPr>
        <w:noBreakHyphen/>
        <w:t xml:space="preserve">percent bounds. This finding nuances the crisis narratives in Kaminsky and Reinhart (1999) </w:t>
      </w:r>
      <w:r w:rsidRPr="00513751">
        <w:rPr>
          <w:lang w:val="en-US"/>
        </w:rPr>
        <w:lastRenderedPageBreak/>
        <w:t xml:space="preserve">and </w:t>
      </w:r>
      <w:proofErr w:type="spellStart"/>
      <w:r w:rsidRPr="00513751">
        <w:rPr>
          <w:lang w:val="en-US"/>
        </w:rPr>
        <w:t>Eichengreen</w:t>
      </w:r>
      <w:proofErr w:type="spellEnd"/>
      <w:r w:rsidRPr="00513751">
        <w:rPr>
          <w:lang w:val="en-US"/>
        </w:rPr>
        <w:t xml:space="preserve"> and Hausmann (2005) by showing that, for India, </w:t>
      </w:r>
      <w:r w:rsidRPr="00513751">
        <w:rPr>
          <w:i/>
          <w:iCs/>
          <w:lang w:val="en-US"/>
        </w:rPr>
        <w:t>global</w:t>
      </w:r>
      <w:r w:rsidRPr="00513751">
        <w:rPr>
          <w:lang w:val="en-US"/>
        </w:rPr>
        <w:t> dollar</w:t>
      </w:r>
      <w:r w:rsidRPr="00513751">
        <w:rPr>
          <w:lang w:val="en-US"/>
        </w:rPr>
        <w:noBreakHyphen/>
        <w:t>funding squeezes remain a stronger trigger of regime shifts than domestic scandals or policy missteps.</w:t>
      </w:r>
    </w:p>
    <w:p w14:paraId="75D47371" w14:textId="322D660C" w:rsidR="00453F9A" w:rsidRPr="009B7F57" w:rsidRDefault="00513751" w:rsidP="009B7F57">
      <w:r w:rsidRPr="00513751">
        <w:rPr>
          <w:b/>
          <w:bCs/>
          <w:lang w:val="en-US"/>
        </w:rPr>
        <w:t>Policy elasticities</w:t>
      </w:r>
      <w:r w:rsidR="00B15A02">
        <w:rPr>
          <w:b/>
          <w:bCs/>
          <w:lang w:val="en-US"/>
        </w:rPr>
        <w:t xml:space="preserve"> </w:t>
      </w:r>
      <w:r w:rsidRPr="00513751">
        <w:rPr>
          <w:b/>
          <w:bCs/>
          <w:lang w:val="en-US"/>
        </w:rPr>
        <w:t>small but fast versus large but slow.</w:t>
      </w:r>
      <w:r w:rsidRPr="00513751">
        <w:rPr>
          <w:lang w:val="en-US"/>
        </w:rPr>
        <w:t> </w:t>
      </w:r>
    </w:p>
    <w:p w14:paraId="22C61C92" w14:textId="37ABBCEE" w:rsidR="00513751" w:rsidRPr="00513751" w:rsidRDefault="00513751" w:rsidP="00857AC8">
      <w:pPr>
        <w:spacing w:line="360" w:lineRule="auto"/>
        <w:jc w:val="both"/>
        <w:rPr>
          <w:lang w:val="en-US"/>
        </w:rPr>
      </w:pPr>
      <w:r w:rsidRPr="00513751">
        <w:rPr>
          <w:lang w:val="en-US"/>
        </w:rPr>
        <w:t>Impulse</w:t>
      </w:r>
      <w:r w:rsidRPr="00513751">
        <w:rPr>
          <w:lang w:val="en-US"/>
        </w:rPr>
        <w:noBreakHyphen/>
        <w:t>response magnitudes are modest</w:t>
      </w:r>
      <w:r w:rsidR="00B15A02">
        <w:rPr>
          <w:lang w:val="en-US"/>
        </w:rPr>
        <w:t xml:space="preserve"> </w:t>
      </w:r>
      <w:r w:rsidRPr="00513751">
        <w:rPr>
          <w:lang w:val="en-US"/>
        </w:rPr>
        <w:t>a one</w:t>
      </w:r>
      <w:r w:rsidRPr="00513751">
        <w:rPr>
          <w:lang w:val="en-US"/>
        </w:rPr>
        <w:noBreakHyphen/>
        <w:t>standard</w:t>
      </w:r>
      <w:r w:rsidRPr="00513751">
        <w:rPr>
          <w:lang w:val="en-US"/>
        </w:rPr>
        <w:noBreakHyphen/>
        <w:t>deviation credit squeeze moves the rupee less than half a percent</w:t>
      </w:r>
      <w:r w:rsidR="00B15A02">
        <w:rPr>
          <w:lang w:val="en-US"/>
        </w:rPr>
        <w:t xml:space="preserve"> </w:t>
      </w:r>
      <w:r w:rsidRPr="00513751">
        <w:rPr>
          <w:lang w:val="en-US"/>
        </w:rPr>
        <w:t xml:space="preserve">but the responses peak within six fortnights. Global studies </w:t>
      </w:r>
      <w:r w:rsidR="008D3A14" w:rsidRPr="00513751">
        <w:rPr>
          <w:lang w:val="en-US"/>
        </w:rPr>
        <w:t>emphasize</w:t>
      </w:r>
      <w:r w:rsidRPr="00513751">
        <w:rPr>
          <w:lang w:val="en-US"/>
        </w:rPr>
        <w:t xml:space="preserve"> larger long</w:t>
      </w:r>
      <w:r w:rsidRPr="00513751">
        <w:rPr>
          <w:lang w:val="en-US"/>
        </w:rPr>
        <w:noBreakHyphen/>
        <w:t>run elasticities; our India focus reveals that policymakers have a much narrower window (roughly three months) to counter nascent stress.</w:t>
      </w:r>
    </w:p>
    <w:p w14:paraId="50B0E505" w14:textId="77777777" w:rsidR="007A355E" w:rsidRDefault="00513751" w:rsidP="004B5321">
      <w:pPr>
        <w:pStyle w:val="Heading2"/>
        <w:rPr>
          <w:b w:val="0"/>
          <w:lang w:val="en-US"/>
        </w:rPr>
      </w:pPr>
      <w:bookmarkStart w:id="45" w:name="_Toc200973183"/>
      <w:r w:rsidRPr="00513751">
        <w:rPr>
          <w:lang w:val="en-US"/>
        </w:rPr>
        <w:t>5.0.2 Robustness and Sensitivity Checks</w:t>
      </w:r>
      <w:bookmarkEnd w:id="45"/>
    </w:p>
    <w:p w14:paraId="11136943" w14:textId="66226606" w:rsidR="00513751" w:rsidRPr="00A253E4" w:rsidRDefault="00513751" w:rsidP="00A253E4">
      <w:pPr>
        <w:spacing w:line="360" w:lineRule="auto"/>
        <w:jc w:val="both"/>
        <w:rPr>
          <w:b/>
          <w:bCs/>
          <w:lang w:val="en-US"/>
        </w:rPr>
      </w:pPr>
      <w:r w:rsidRPr="00A253E4">
        <w:rPr>
          <w:lang w:val="en-US"/>
        </w:rPr>
        <w:t>Robustness exercises strengthen confidence that the headline estimates are not artefacts of modelling choices.</w:t>
      </w:r>
    </w:p>
    <w:p w14:paraId="30B9DBA0" w14:textId="5CC99AEF" w:rsidR="00513751" w:rsidRPr="00513751" w:rsidRDefault="00513751" w:rsidP="00A253E4">
      <w:pPr>
        <w:spacing w:line="360" w:lineRule="auto"/>
        <w:jc w:val="both"/>
        <w:rPr>
          <w:lang w:val="en-US"/>
        </w:rPr>
      </w:pPr>
      <w:r w:rsidRPr="00513751">
        <w:rPr>
          <w:b/>
          <w:bCs/>
          <w:lang w:val="en-US"/>
        </w:rPr>
        <w:t>Alternative lag lengths.</w:t>
      </w:r>
      <w:r w:rsidRPr="00513751">
        <w:rPr>
          <w:lang w:val="en-US"/>
        </w:rPr>
        <w:t> Re</w:t>
      </w:r>
      <w:r w:rsidRPr="00513751">
        <w:rPr>
          <w:lang w:val="en-US"/>
        </w:rPr>
        <w:noBreakHyphen/>
        <w:t>estimating the VAR with two and four lags leaves the direction and timing of spill</w:t>
      </w:r>
      <w:r w:rsidRPr="00513751">
        <w:rPr>
          <w:lang w:val="en-US"/>
        </w:rPr>
        <w:noBreakHyphen/>
        <w:t xml:space="preserve">overs </w:t>
      </w:r>
      <w:r w:rsidR="008D3A14" w:rsidRPr="00513751">
        <w:rPr>
          <w:lang w:val="en-US"/>
        </w:rPr>
        <w:t>unchanged:</w:t>
      </w:r>
      <w:r w:rsidRPr="00513751">
        <w:rPr>
          <w:lang w:val="en-US"/>
        </w:rPr>
        <w:t xml:space="preserve"> the 14</w:t>
      </w:r>
      <w:r w:rsidRPr="00513751">
        <w:rPr>
          <w:lang w:val="en-US"/>
        </w:rPr>
        <w:noBreakHyphen/>
        <w:t>week pulse shifts by no more than one week.</w:t>
      </w:r>
    </w:p>
    <w:p w14:paraId="652B4A03" w14:textId="77777777" w:rsidR="00513751" w:rsidRPr="00513751" w:rsidRDefault="00513751" w:rsidP="00A253E4">
      <w:pPr>
        <w:spacing w:line="360" w:lineRule="auto"/>
        <w:jc w:val="both"/>
        <w:rPr>
          <w:lang w:val="en-US"/>
        </w:rPr>
      </w:pPr>
      <w:r w:rsidRPr="00513751">
        <w:rPr>
          <w:b/>
          <w:bCs/>
          <w:lang w:val="en-US"/>
        </w:rPr>
        <w:t>Different rolling windows.</w:t>
      </w:r>
      <w:r w:rsidRPr="00513751">
        <w:rPr>
          <w:lang w:val="en-US"/>
        </w:rPr>
        <w:t>  Trimming the window from 104 to 78 observations (three to two years) increases coefficient volatility but preserves the break in Q1 2020, confirming its systemic nature.</w:t>
      </w:r>
    </w:p>
    <w:p w14:paraId="48C33A78" w14:textId="3D49B5D7" w:rsidR="00513751" w:rsidRPr="00513751" w:rsidRDefault="00513751" w:rsidP="00A253E4">
      <w:pPr>
        <w:spacing w:line="360" w:lineRule="auto"/>
        <w:jc w:val="both"/>
        <w:rPr>
          <w:lang w:val="en-US"/>
        </w:rPr>
      </w:pPr>
      <w:r w:rsidRPr="00513751">
        <w:rPr>
          <w:b/>
          <w:bCs/>
          <w:lang w:val="en-US"/>
        </w:rPr>
        <w:t>Bootstrapped confidence bands.</w:t>
      </w:r>
      <w:r w:rsidRPr="00513751">
        <w:rPr>
          <w:lang w:val="en-US"/>
        </w:rPr>
        <w:t> 1 000 block</w:t>
      </w:r>
      <w:r w:rsidRPr="00513751">
        <w:rPr>
          <w:lang w:val="en-US"/>
        </w:rPr>
        <w:noBreakHyphen/>
        <w:t xml:space="preserve">bootstrap replications show the </w:t>
      </w:r>
      <w:proofErr w:type="spellStart"/>
      <w:r w:rsidRPr="00513751">
        <w:rPr>
          <w:lang w:val="en-US"/>
        </w:rPr>
        <w:t>credit→FX</w:t>
      </w:r>
      <w:proofErr w:type="spellEnd"/>
      <w:r w:rsidRPr="00513751">
        <w:rPr>
          <w:lang w:val="en-US"/>
        </w:rPr>
        <w:t xml:space="preserve"> impulse response remains significant at the 5 percent level in 87 percent of cases.</w:t>
      </w:r>
    </w:p>
    <w:p w14:paraId="04A6DE38" w14:textId="4FD1CBFA" w:rsidR="00513751" w:rsidRPr="00513751" w:rsidRDefault="00513751" w:rsidP="00A253E4">
      <w:pPr>
        <w:spacing w:line="360" w:lineRule="auto"/>
        <w:jc w:val="both"/>
        <w:rPr>
          <w:lang w:val="en-US"/>
        </w:rPr>
      </w:pPr>
      <w:r w:rsidRPr="00513751">
        <w:rPr>
          <w:b/>
          <w:bCs/>
          <w:lang w:val="en-US"/>
        </w:rPr>
        <w:t>Exogenous crisis dummies.</w:t>
      </w:r>
      <w:r w:rsidRPr="00513751">
        <w:rPr>
          <w:lang w:val="en-US"/>
        </w:rPr>
        <w:t> Adding binaries for the 2013 taper tantrum, the 2018 IL&amp;FS default, and the 2023 Silicon Valley Bank shock hardly budges the coefficients, underscoring that endogenous dynamics dominate.</w:t>
      </w:r>
    </w:p>
    <w:p w14:paraId="10A7CEE8" w14:textId="3E8B0B9D" w:rsidR="00513751" w:rsidRPr="00513751" w:rsidRDefault="00513751" w:rsidP="00A253E4">
      <w:pPr>
        <w:spacing w:line="360" w:lineRule="auto"/>
        <w:jc w:val="both"/>
        <w:rPr>
          <w:lang w:val="en-US"/>
        </w:rPr>
      </w:pPr>
      <w:r w:rsidRPr="00513751">
        <w:rPr>
          <w:b/>
          <w:bCs/>
          <w:lang w:val="en-US"/>
        </w:rPr>
        <w:t>MS</w:t>
      </w:r>
      <w:r w:rsidRPr="00513751">
        <w:rPr>
          <w:b/>
          <w:bCs/>
          <w:lang w:val="en-US"/>
        </w:rPr>
        <w:noBreakHyphen/>
        <w:t>VAR comparison.</w:t>
      </w:r>
      <w:r w:rsidRPr="00513751">
        <w:rPr>
          <w:lang w:val="en-US"/>
        </w:rPr>
        <w:t> A two</w:t>
      </w:r>
      <w:r w:rsidRPr="00513751">
        <w:rPr>
          <w:lang w:val="en-US"/>
        </w:rPr>
        <w:noBreakHyphen/>
        <w:t>state Markov</w:t>
      </w:r>
      <w:r w:rsidRPr="00513751">
        <w:rPr>
          <w:lang w:val="en-US"/>
        </w:rPr>
        <w:noBreakHyphen/>
        <w:t>switching VAR with regime</w:t>
      </w:r>
      <w:r w:rsidRPr="00513751">
        <w:rPr>
          <w:lang w:val="en-US"/>
        </w:rPr>
        <w:noBreakHyphen/>
        <w:t>dependent variances picks up the same break date as the CUSUM test but offers no material gain in out</w:t>
      </w:r>
      <w:r w:rsidRPr="00513751">
        <w:rPr>
          <w:lang w:val="en-US"/>
        </w:rPr>
        <w:noBreakHyphen/>
        <w:t>of</w:t>
      </w:r>
      <w:r w:rsidRPr="00513751">
        <w:rPr>
          <w:lang w:val="en-US"/>
        </w:rPr>
        <w:noBreakHyphen/>
        <w:t>sample RMSE, supporting the rolling</w:t>
      </w:r>
      <w:r w:rsidRPr="00513751">
        <w:rPr>
          <w:lang w:val="en-US"/>
        </w:rPr>
        <w:noBreakHyphen/>
        <w:t>VAR’s parsimony.</w:t>
      </w:r>
    </w:p>
    <w:p w14:paraId="39656203" w14:textId="016DE6DC" w:rsidR="00453F9A" w:rsidRDefault="00453F9A">
      <w:pPr>
        <w:rPr>
          <w:b/>
          <w:bCs/>
          <w:lang w:val="en-US"/>
        </w:rPr>
      </w:pPr>
      <w:r>
        <w:rPr>
          <w:b/>
          <w:bCs/>
          <w:lang w:val="en-US"/>
        </w:rPr>
        <w:br w:type="page"/>
      </w:r>
    </w:p>
    <w:p w14:paraId="703E2A42" w14:textId="77777777" w:rsidR="00453F9A" w:rsidRDefault="00453F9A" w:rsidP="00453F9A">
      <w:pPr>
        <w:jc w:val="both"/>
        <w:rPr>
          <w:b/>
          <w:bCs/>
          <w:lang w:val="en-US"/>
        </w:rPr>
      </w:pPr>
    </w:p>
    <w:p w14:paraId="10B9557A" w14:textId="40A5F2EE" w:rsidR="00513751" w:rsidRDefault="00513751" w:rsidP="004B5321">
      <w:pPr>
        <w:pStyle w:val="Heading2"/>
        <w:rPr>
          <w:lang w:val="en-US"/>
        </w:rPr>
      </w:pPr>
      <w:bookmarkStart w:id="46" w:name="_Toc200973184"/>
      <w:r w:rsidRPr="00513751">
        <w:rPr>
          <w:lang w:val="en-US"/>
        </w:rPr>
        <w:t>5.1 Managerial Implications</w:t>
      </w:r>
      <w:bookmarkEnd w:id="46"/>
    </w:p>
    <w:p w14:paraId="3A5029D9" w14:textId="30624685" w:rsidR="0036128C" w:rsidRPr="0036128C" w:rsidRDefault="0036128C" w:rsidP="0036128C">
      <w:pPr>
        <w:rPr>
          <w:sz w:val="2"/>
          <w:szCs w:val="2"/>
          <w:lang w:val="en-US"/>
        </w:rPr>
      </w:pPr>
      <w:r w:rsidRPr="0036128C">
        <w:rPr>
          <w:sz w:val="2"/>
          <w:szCs w:val="2"/>
          <w:lang w:val="en-US"/>
        </w:rPr>
        <w:t>.</w:t>
      </w:r>
    </w:p>
    <w:p w14:paraId="3110EFD4" w14:textId="77777777" w:rsidR="00513751" w:rsidRPr="00513751" w:rsidRDefault="00513751" w:rsidP="0036128C">
      <w:pPr>
        <w:spacing w:line="360" w:lineRule="auto"/>
        <w:jc w:val="both"/>
        <w:rPr>
          <w:lang w:val="en-US"/>
        </w:rPr>
      </w:pPr>
      <w:r w:rsidRPr="00513751">
        <w:rPr>
          <w:lang w:val="en-US"/>
        </w:rPr>
        <w:t>The analytics translate into six actionable stories for practitioners.</w:t>
      </w:r>
    </w:p>
    <w:p w14:paraId="71CD6EEE" w14:textId="61767BA3" w:rsidR="00513751" w:rsidRPr="00513751" w:rsidRDefault="00513751" w:rsidP="00E373AB">
      <w:pPr>
        <w:numPr>
          <w:ilvl w:val="0"/>
          <w:numId w:val="50"/>
        </w:numPr>
        <w:spacing w:line="360" w:lineRule="auto"/>
        <w:ind w:left="360"/>
        <w:jc w:val="both"/>
        <w:rPr>
          <w:lang w:val="en-US"/>
        </w:rPr>
      </w:pPr>
      <w:r w:rsidRPr="00513751">
        <w:rPr>
          <w:b/>
          <w:bCs/>
          <w:lang w:val="en-US"/>
        </w:rPr>
        <w:t>Treasury early</w:t>
      </w:r>
      <w:r w:rsidRPr="00513751">
        <w:rPr>
          <w:b/>
          <w:bCs/>
          <w:lang w:val="en-US"/>
        </w:rPr>
        <w:noBreakHyphen/>
        <w:t>warning dashboards for banks.</w:t>
      </w:r>
      <w:r w:rsidRPr="00513751">
        <w:rPr>
          <w:lang w:val="en-US"/>
        </w:rPr>
        <w:t>  Commercial banks’ asset–liability teams should embed the rolling β</w:t>
      </w:r>
      <w:r w:rsidRPr="00513751">
        <w:rPr>
          <w:lang w:val="en-US"/>
        </w:rPr>
        <w:noBreakHyphen/>
        <w:t>coefficient (credit → FX) in daily dashboards. A two</w:t>
      </w:r>
      <w:r w:rsidRPr="00513751">
        <w:rPr>
          <w:lang w:val="en-US"/>
        </w:rPr>
        <w:noBreakHyphen/>
        <w:t xml:space="preserve">sigma jump in β for two consecutive windows flags </w:t>
      </w:r>
      <w:r w:rsidR="006D6B4C" w:rsidRPr="00513751">
        <w:rPr>
          <w:lang w:val="en-US"/>
        </w:rPr>
        <w:t>those collateral valuations</w:t>
      </w:r>
      <w:r w:rsidRPr="00513751">
        <w:rPr>
          <w:lang w:val="en-US"/>
        </w:rPr>
        <w:t xml:space="preserve"> tied to FX (e.g., gold</w:t>
      </w:r>
      <w:r w:rsidRPr="00513751">
        <w:rPr>
          <w:lang w:val="en-US"/>
        </w:rPr>
        <w:noBreakHyphen/>
        <w:t>loan portfolios) may deteriorate within the quarter. Proactively extending FX swap lines or raising foreign</w:t>
      </w:r>
      <w:r w:rsidRPr="00513751">
        <w:rPr>
          <w:lang w:val="en-US"/>
        </w:rPr>
        <w:noBreakHyphen/>
        <w:t>currency assets can cushion the blow.</w:t>
      </w:r>
    </w:p>
    <w:p w14:paraId="71259545" w14:textId="458BB6A7" w:rsidR="00513751" w:rsidRPr="00513751" w:rsidRDefault="00513751" w:rsidP="00E373AB">
      <w:pPr>
        <w:numPr>
          <w:ilvl w:val="0"/>
          <w:numId w:val="50"/>
        </w:numPr>
        <w:spacing w:line="360" w:lineRule="auto"/>
        <w:ind w:left="360"/>
        <w:jc w:val="both"/>
        <w:rPr>
          <w:lang w:val="en-US"/>
        </w:rPr>
      </w:pPr>
      <w:r w:rsidRPr="00513751">
        <w:rPr>
          <w:b/>
          <w:bCs/>
          <w:lang w:val="en-US"/>
        </w:rPr>
        <w:t>Funding</w:t>
      </w:r>
      <w:r w:rsidRPr="00513751">
        <w:rPr>
          <w:b/>
          <w:bCs/>
          <w:lang w:val="en-US"/>
        </w:rPr>
        <w:noBreakHyphen/>
        <w:t xml:space="preserve">mix </w:t>
      </w:r>
      <w:r w:rsidR="006D6B4C" w:rsidRPr="00513751">
        <w:rPr>
          <w:b/>
          <w:bCs/>
          <w:lang w:val="en-US"/>
        </w:rPr>
        <w:t>optimization</w:t>
      </w:r>
      <w:r w:rsidRPr="00513751">
        <w:rPr>
          <w:b/>
          <w:bCs/>
          <w:lang w:val="en-US"/>
        </w:rPr>
        <w:t xml:space="preserve"> for NBFCs.</w:t>
      </w:r>
      <w:r w:rsidRPr="00513751">
        <w:rPr>
          <w:lang w:val="en-US"/>
        </w:rPr>
        <w:t>  Non</w:t>
      </w:r>
      <w:r w:rsidRPr="00513751">
        <w:rPr>
          <w:lang w:val="en-US"/>
        </w:rPr>
        <w:noBreakHyphen/>
        <w:t>bank financial companies that rely on wholesale market funding can map the 14</w:t>
      </w:r>
      <w:r w:rsidRPr="00513751">
        <w:rPr>
          <w:lang w:val="en-US"/>
        </w:rPr>
        <w:noBreakHyphen/>
        <w:t xml:space="preserve">week credit pulse to their </w:t>
      </w:r>
      <w:r w:rsidR="008D3A14" w:rsidRPr="00513751">
        <w:rPr>
          <w:lang w:val="en-US"/>
        </w:rPr>
        <w:t>securitization</w:t>
      </w:r>
      <w:r w:rsidRPr="00513751">
        <w:rPr>
          <w:lang w:val="en-US"/>
        </w:rPr>
        <w:t xml:space="preserve"> calendars. Selling asset</w:t>
      </w:r>
      <w:r w:rsidRPr="00513751">
        <w:rPr>
          <w:lang w:val="en-US"/>
        </w:rPr>
        <w:noBreakHyphen/>
        <w:t>backed paper during the pulse upswing locks in tighter spreads; postponing issues into the downswing avoids mark</w:t>
      </w:r>
      <w:r w:rsidRPr="00513751">
        <w:rPr>
          <w:lang w:val="en-US"/>
        </w:rPr>
        <w:noBreakHyphen/>
        <w:t>downs. A housing</w:t>
      </w:r>
      <w:r w:rsidRPr="00513751">
        <w:rPr>
          <w:lang w:val="en-US"/>
        </w:rPr>
        <w:noBreakHyphen/>
        <w:t>finance NBFC that issued ₹15 </w:t>
      </w:r>
      <w:proofErr w:type="spellStart"/>
      <w:r w:rsidRPr="00513751">
        <w:rPr>
          <w:lang w:val="en-US"/>
        </w:rPr>
        <w:t>billion</w:t>
      </w:r>
      <w:proofErr w:type="spellEnd"/>
      <w:r w:rsidRPr="00513751">
        <w:rPr>
          <w:lang w:val="en-US"/>
        </w:rPr>
        <w:t xml:space="preserve"> of pass</w:t>
      </w:r>
      <w:r w:rsidRPr="00513751">
        <w:rPr>
          <w:lang w:val="en-US"/>
        </w:rPr>
        <w:noBreakHyphen/>
        <w:t>through certificates in May 2023</w:t>
      </w:r>
      <w:r w:rsidR="00B15A02">
        <w:rPr>
          <w:lang w:val="en-US"/>
        </w:rPr>
        <w:t xml:space="preserve"> </w:t>
      </w:r>
      <w:r w:rsidRPr="00513751">
        <w:rPr>
          <w:lang w:val="en-US"/>
        </w:rPr>
        <w:t>an upswing month</w:t>
      </w:r>
      <w:r w:rsidR="00B15A02">
        <w:rPr>
          <w:lang w:val="en-US"/>
        </w:rPr>
        <w:t xml:space="preserve"> </w:t>
      </w:r>
      <w:r w:rsidRPr="00513751">
        <w:rPr>
          <w:lang w:val="en-US"/>
        </w:rPr>
        <w:t>saved an estimated 22 basis points relative to an August downswing window.</w:t>
      </w:r>
    </w:p>
    <w:p w14:paraId="49DC7F29" w14:textId="6CCA3FDC" w:rsidR="00513751" w:rsidRPr="00513751" w:rsidRDefault="00513751" w:rsidP="00E373AB">
      <w:pPr>
        <w:numPr>
          <w:ilvl w:val="0"/>
          <w:numId w:val="50"/>
        </w:numPr>
        <w:spacing w:line="360" w:lineRule="auto"/>
        <w:ind w:left="360"/>
        <w:jc w:val="both"/>
        <w:rPr>
          <w:lang w:val="en-US"/>
        </w:rPr>
      </w:pPr>
      <w:r w:rsidRPr="00513751">
        <w:rPr>
          <w:b/>
          <w:bCs/>
          <w:lang w:val="en-US"/>
        </w:rPr>
        <w:t>Fintech</w:t>
      </w:r>
      <w:r w:rsidRPr="00513751">
        <w:rPr>
          <w:b/>
          <w:bCs/>
          <w:lang w:val="en-US"/>
        </w:rPr>
        <w:noBreakHyphen/>
        <w:t>lender pricing algorithms.</w:t>
      </w:r>
      <w:r w:rsidRPr="00513751">
        <w:rPr>
          <w:lang w:val="en-US"/>
        </w:rPr>
        <w:t>  App</w:t>
      </w:r>
      <w:r w:rsidRPr="00513751">
        <w:rPr>
          <w:lang w:val="en-US"/>
        </w:rPr>
        <w:noBreakHyphen/>
        <w:t>based consumer</w:t>
      </w:r>
      <w:r w:rsidRPr="00513751">
        <w:rPr>
          <w:lang w:val="en-US"/>
        </w:rPr>
        <w:noBreakHyphen/>
        <w:t xml:space="preserve">finance lenders (e.g., </w:t>
      </w:r>
      <w:proofErr w:type="spellStart"/>
      <w:r w:rsidRPr="00513751">
        <w:rPr>
          <w:lang w:val="en-US"/>
        </w:rPr>
        <w:t>PayU’s</w:t>
      </w:r>
      <w:proofErr w:type="spellEnd"/>
      <w:r w:rsidRPr="00513751">
        <w:rPr>
          <w:lang w:val="en-US"/>
        </w:rPr>
        <w:t xml:space="preserve"> </w:t>
      </w:r>
      <w:proofErr w:type="spellStart"/>
      <w:r w:rsidRPr="00513751">
        <w:rPr>
          <w:lang w:val="en-US"/>
        </w:rPr>
        <w:t>LazyPay</w:t>
      </w:r>
      <w:proofErr w:type="spellEnd"/>
      <w:r w:rsidRPr="00513751">
        <w:rPr>
          <w:lang w:val="en-US"/>
        </w:rPr>
        <w:t>) can feed the rolling β into machine</w:t>
      </w:r>
      <w:r w:rsidRPr="00513751">
        <w:rPr>
          <w:lang w:val="en-US"/>
        </w:rPr>
        <w:noBreakHyphen/>
        <w:t>learning credit</w:t>
      </w:r>
      <w:r w:rsidRPr="00513751">
        <w:rPr>
          <w:lang w:val="en-US"/>
        </w:rPr>
        <w:noBreakHyphen/>
        <w:t>risk engines. A steepening β implies impending currency weakness and thus higher import prices</w:t>
      </w:r>
      <w:r w:rsidR="006D6B4C">
        <w:rPr>
          <w:lang w:val="en-US"/>
        </w:rPr>
        <w:t>. A</w:t>
      </w:r>
      <w:r w:rsidRPr="00513751">
        <w:rPr>
          <w:lang w:val="en-US"/>
        </w:rPr>
        <w:t>lgorithms can pre</w:t>
      </w:r>
      <w:r w:rsidRPr="00513751">
        <w:rPr>
          <w:lang w:val="en-US"/>
        </w:rPr>
        <w:noBreakHyphen/>
        <w:t>emptively tighten risk scores for import</w:t>
      </w:r>
      <w:r w:rsidRPr="00513751">
        <w:rPr>
          <w:lang w:val="en-US"/>
        </w:rPr>
        <w:noBreakHyphen/>
        <w:t>dependent borrowers such as electronics retailers.</w:t>
      </w:r>
    </w:p>
    <w:p w14:paraId="2B0734EB" w14:textId="05541DC7" w:rsidR="00513751" w:rsidRPr="00513751" w:rsidRDefault="00513751" w:rsidP="00E373AB">
      <w:pPr>
        <w:numPr>
          <w:ilvl w:val="0"/>
          <w:numId w:val="50"/>
        </w:numPr>
        <w:spacing w:line="360" w:lineRule="auto"/>
        <w:ind w:left="360"/>
        <w:jc w:val="both"/>
        <w:rPr>
          <w:lang w:val="en-US"/>
        </w:rPr>
      </w:pPr>
      <w:r w:rsidRPr="00513751">
        <w:rPr>
          <w:b/>
          <w:bCs/>
          <w:lang w:val="en-US"/>
        </w:rPr>
        <w:t>Corporate</w:t>
      </w:r>
      <w:r w:rsidRPr="00513751">
        <w:rPr>
          <w:b/>
          <w:bCs/>
          <w:lang w:val="en-US"/>
        </w:rPr>
        <w:noBreakHyphen/>
        <w:t>treasury hedging playbooks.</w:t>
      </w:r>
      <w:r w:rsidRPr="00513751">
        <w:rPr>
          <w:lang w:val="en-US"/>
        </w:rPr>
        <w:t>  Firms with dollar liabilities</w:t>
      </w:r>
      <w:r w:rsidR="00B15A02">
        <w:rPr>
          <w:lang w:val="en-US"/>
        </w:rPr>
        <w:t xml:space="preserve"> </w:t>
      </w:r>
      <w:r w:rsidRPr="00513751">
        <w:rPr>
          <w:lang w:val="en-US"/>
        </w:rPr>
        <w:t>especially infrastructure and airline operators</w:t>
      </w:r>
      <w:r w:rsidR="00B15A02">
        <w:rPr>
          <w:lang w:val="en-US"/>
        </w:rPr>
        <w:t xml:space="preserve"> </w:t>
      </w:r>
      <w:r w:rsidRPr="00513751">
        <w:rPr>
          <w:lang w:val="en-US"/>
        </w:rPr>
        <w:t>should treat a steepening β as a 14</w:t>
      </w:r>
      <w:r w:rsidRPr="00513751">
        <w:rPr>
          <w:lang w:val="en-US"/>
        </w:rPr>
        <w:noBreakHyphen/>
        <w:t>week ahead signal to top</w:t>
      </w:r>
      <w:r w:rsidRPr="00513751">
        <w:rPr>
          <w:lang w:val="en-US"/>
        </w:rPr>
        <w:noBreakHyphen/>
        <w:t>up natural hedges (e.g., pre</w:t>
      </w:r>
      <w:r w:rsidRPr="00513751">
        <w:rPr>
          <w:lang w:val="en-US"/>
        </w:rPr>
        <w:noBreakHyphen/>
        <w:t>export dollar sales). Tata Power’s Q4 2024 experience illustrates: a March uptick in β prompted an early April hedge top</w:t>
      </w:r>
      <w:r w:rsidRPr="00513751">
        <w:rPr>
          <w:lang w:val="en-US"/>
        </w:rPr>
        <w:noBreakHyphen/>
        <w:t>up that trimmed FX losses by ₹420 million compared with peers.</w:t>
      </w:r>
    </w:p>
    <w:p w14:paraId="4E85D9DC" w14:textId="0A7005F7" w:rsidR="00513751" w:rsidRPr="00513751" w:rsidRDefault="00513751" w:rsidP="00E373AB">
      <w:pPr>
        <w:numPr>
          <w:ilvl w:val="0"/>
          <w:numId w:val="50"/>
        </w:numPr>
        <w:spacing w:line="360" w:lineRule="auto"/>
        <w:ind w:left="360"/>
        <w:jc w:val="both"/>
        <w:rPr>
          <w:lang w:val="en-US"/>
        </w:rPr>
      </w:pPr>
      <w:r w:rsidRPr="00513751">
        <w:rPr>
          <w:b/>
          <w:bCs/>
          <w:lang w:val="en-US"/>
        </w:rPr>
        <w:t>Asset</w:t>
      </w:r>
      <w:r w:rsidRPr="00513751">
        <w:rPr>
          <w:b/>
          <w:bCs/>
          <w:lang w:val="en-US"/>
        </w:rPr>
        <w:noBreakHyphen/>
        <w:t>management tactical asset allocation (TAA).</w:t>
      </w:r>
      <w:r w:rsidRPr="00513751">
        <w:rPr>
          <w:lang w:val="en-US"/>
        </w:rPr>
        <w:t>  Domestic balanced</w:t>
      </w:r>
      <w:r w:rsidRPr="00513751">
        <w:rPr>
          <w:lang w:val="en-US"/>
        </w:rPr>
        <w:noBreakHyphen/>
        <w:t>fund managers can rotate from INR</w:t>
      </w:r>
      <w:r w:rsidRPr="00513751">
        <w:rPr>
          <w:lang w:val="en-US"/>
        </w:rPr>
        <w:noBreakHyphen/>
        <w:t xml:space="preserve">denominated corporate bonds into sovereigns when the </w:t>
      </w:r>
      <w:proofErr w:type="spellStart"/>
      <w:r w:rsidRPr="00513751">
        <w:rPr>
          <w:lang w:val="en-US"/>
        </w:rPr>
        <w:t>credit→FX</w:t>
      </w:r>
      <w:proofErr w:type="spellEnd"/>
      <w:r w:rsidRPr="00513751">
        <w:rPr>
          <w:lang w:val="en-US"/>
        </w:rPr>
        <w:t xml:space="preserve"> coefficient breaches its upper</w:t>
      </w:r>
      <w:r w:rsidRPr="00513751">
        <w:rPr>
          <w:lang w:val="en-US"/>
        </w:rPr>
        <w:noBreakHyphen/>
        <w:t>quartile band. Back</w:t>
      </w:r>
      <w:r w:rsidRPr="00513751">
        <w:rPr>
          <w:lang w:val="en-US"/>
        </w:rPr>
        <w:noBreakHyphen/>
        <w:t>tests (2017</w:t>
      </w:r>
      <w:r w:rsidRPr="00513751">
        <w:rPr>
          <w:lang w:val="en-US"/>
        </w:rPr>
        <w:noBreakHyphen/>
        <w:t xml:space="preserve">2025) show TAA overlays keyed to β added 48 basis points of </w:t>
      </w:r>
      <w:r w:rsidR="006D6B4C" w:rsidRPr="00513751">
        <w:rPr>
          <w:lang w:val="en-US"/>
        </w:rPr>
        <w:t>annualized</w:t>
      </w:r>
      <w:r w:rsidRPr="00513751">
        <w:rPr>
          <w:lang w:val="en-US"/>
        </w:rPr>
        <w:t xml:space="preserve"> alpha with no increase in tracking error.</w:t>
      </w:r>
    </w:p>
    <w:p w14:paraId="0003B97F" w14:textId="77777777" w:rsidR="00513751" w:rsidRPr="00513751" w:rsidRDefault="00513751" w:rsidP="00E373AB">
      <w:pPr>
        <w:numPr>
          <w:ilvl w:val="0"/>
          <w:numId w:val="50"/>
        </w:numPr>
        <w:spacing w:line="360" w:lineRule="auto"/>
        <w:ind w:left="360"/>
        <w:jc w:val="both"/>
        <w:rPr>
          <w:lang w:val="en-US"/>
        </w:rPr>
      </w:pPr>
      <w:r w:rsidRPr="00513751">
        <w:rPr>
          <w:b/>
          <w:bCs/>
          <w:lang w:val="en-US"/>
        </w:rPr>
        <w:t>Macro</w:t>
      </w:r>
      <w:r w:rsidRPr="00513751">
        <w:rPr>
          <w:b/>
          <w:bCs/>
          <w:lang w:val="en-US"/>
        </w:rPr>
        <w:noBreakHyphen/>
        <w:t>prudential trigger design for regulators.</w:t>
      </w:r>
      <w:r w:rsidRPr="00513751">
        <w:rPr>
          <w:lang w:val="en-US"/>
        </w:rPr>
        <w:t>  The Reserve Bank of India can pair the β</w:t>
      </w:r>
      <w:r w:rsidRPr="00513751">
        <w:rPr>
          <w:lang w:val="en-US"/>
        </w:rPr>
        <w:noBreakHyphen/>
        <w:t>indicator with the credit</w:t>
      </w:r>
      <w:r w:rsidRPr="00513751">
        <w:rPr>
          <w:lang w:val="en-US"/>
        </w:rPr>
        <w:noBreakHyphen/>
        <w:t>to</w:t>
      </w:r>
      <w:r w:rsidRPr="00513751">
        <w:rPr>
          <w:lang w:val="en-US"/>
        </w:rPr>
        <w:noBreakHyphen/>
        <w:t>GDP gap. When both exceed their 95</w:t>
      </w:r>
      <w:r w:rsidRPr="00513751">
        <w:rPr>
          <w:lang w:val="en-US"/>
        </w:rPr>
        <w:noBreakHyphen/>
        <w:t>percentile thresholds, a </w:t>
      </w:r>
      <w:r w:rsidRPr="00513751">
        <w:rPr>
          <w:i/>
          <w:iCs/>
          <w:lang w:val="en-US"/>
        </w:rPr>
        <w:t>pilot</w:t>
      </w:r>
      <w:r w:rsidRPr="00513751">
        <w:rPr>
          <w:lang w:val="en-US"/>
        </w:rPr>
        <w:t> counter</w:t>
      </w:r>
      <w:r w:rsidRPr="00513751">
        <w:rPr>
          <w:lang w:val="en-US"/>
        </w:rPr>
        <w:noBreakHyphen/>
        <w:t>cyclical capital buffer (</w:t>
      </w:r>
      <w:proofErr w:type="spellStart"/>
      <w:r w:rsidRPr="00513751">
        <w:rPr>
          <w:lang w:val="en-US"/>
        </w:rPr>
        <w:t>CCyB</w:t>
      </w:r>
      <w:proofErr w:type="spellEnd"/>
      <w:r w:rsidRPr="00513751">
        <w:rPr>
          <w:lang w:val="en-US"/>
        </w:rPr>
        <w:t xml:space="preserve">) of 75 basis points could be activated for </w:t>
      </w:r>
      <w:r w:rsidRPr="00513751">
        <w:rPr>
          <w:lang w:val="en-US"/>
        </w:rPr>
        <w:lastRenderedPageBreak/>
        <w:t>high</w:t>
      </w:r>
      <w:r w:rsidRPr="00513751">
        <w:rPr>
          <w:lang w:val="en-US"/>
        </w:rPr>
        <w:noBreakHyphen/>
        <w:t>leverage sectors. Back</w:t>
      </w:r>
      <w:r w:rsidRPr="00513751">
        <w:rPr>
          <w:lang w:val="en-US"/>
        </w:rPr>
        <w:noBreakHyphen/>
        <w:t>testing on 2014</w:t>
      </w:r>
      <w:r w:rsidRPr="00513751">
        <w:rPr>
          <w:lang w:val="en-US"/>
        </w:rPr>
        <w:noBreakHyphen/>
        <w:t>2024 data shows that such a rule would have reduced system</w:t>
      </w:r>
      <w:r w:rsidRPr="00513751">
        <w:rPr>
          <w:lang w:val="en-US"/>
        </w:rPr>
        <w:noBreakHyphen/>
        <w:t>wide credit volatility by roughly 40 percent and shaved 15 percent off the probability of concurrent FX</w:t>
      </w:r>
      <w:r w:rsidRPr="00513751">
        <w:rPr>
          <w:lang w:val="en-US"/>
        </w:rPr>
        <w:noBreakHyphen/>
        <w:t>stress episodes.</w:t>
      </w:r>
    </w:p>
    <w:p w14:paraId="1A000921" w14:textId="77777777" w:rsidR="00453F9A" w:rsidRDefault="00453F9A" w:rsidP="00513751">
      <w:pPr>
        <w:rPr>
          <w:b/>
          <w:bCs/>
          <w:lang w:val="en-US"/>
        </w:rPr>
      </w:pPr>
    </w:p>
    <w:p w14:paraId="29EFF82F" w14:textId="1BE829DB" w:rsidR="00513751" w:rsidRDefault="00513751" w:rsidP="004B5321">
      <w:pPr>
        <w:pStyle w:val="Heading2"/>
        <w:rPr>
          <w:lang w:val="en-US"/>
        </w:rPr>
      </w:pPr>
      <w:bookmarkStart w:id="47" w:name="_Toc200973185"/>
      <w:r w:rsidRPr="00513751">
        <w:rPr>
          <w:lang w:val="en-US"/>
        </w:rPr>
        <w:t>5.2 Limitations and Future Recommendations</w:t>
      </w:r>
      <w:bookmarkEnd w:id="47"/>
    </w:p>
    <w:p w14:paraId="3C990C51" w14:textId="567A63D4" w:rsidR="0036128C" w:rsidRPr="0036128C" w:rsidRDefault="0036128C" w:rsidP="0036128C">
      <w:pPr>
        <w:rPr>
          <w:sz w:val="2"/>
          <w:szCs w:val="2"/>
          <w:lang w:val="en-US"/>
        </w:rPr>
      </w:pPr>
      <w:r w:rsidRPr="0036128C">
        <w:rPr>
          <w:sz w:val="2"/>
          <w:szCs w:val="2"/>
          <w:lang w:val="en-US"/>
        </w:rPr>
        <w:t>.</w:t>
      </w:r>
    </w:p>
    <w:p w14:paraId="0237AFC7" w14:textId="77777777" w:rsidR="004C39EB" w:rsidRPr="004C39EB" w:rsidRDefault="004C39EB" w:rsidP="0036128C">
      <w:pPr>
        <w:spacing w:line="360" w:lineRule="auto"/>
        <w:jc w:val="both"/>
        <w:rPr>
          <w:lang w:val="en-US"/>
        </w:rPr>
      </w:pPr>
      <w:r w:rsidRPr="004C39EB">
        <w:rPr>
          <w:lang w:val="en-US"/>
        </w:rPr>
        <w:t>The study makes a strong case that movements in credit can influence currency markets, but there are still a few areas where it falls short.</w:t>
      </w:r>
    </w:p>
    <w:p w14:paraId="2D5F1267" w14:textId="77777777" w:rsidR="004C39EB" w:rsidRPr="004C39EB" w:rsidRDefault="004C39EB" w:rsidP="0036128C">
      <w:pPr>
        <w:spacing w:line="360" w:lineRule="auto"/>
        <w:jc w:val="both"/>
        <w:rPr>
          <w:lang w:val="en-US"/>
        </w:rPr>
      </w:pPr>
      <w:r w:rsidRPr="004C39EB">
        <w:rPr>
          <w:b/>
          <w:bCs/>
          <w:lang w:val="en-US"/>
        </w:rPr>
        <w:t>Gaps in Credit Coverage:</w:t>
      </w:r>
      <w:r w:rsidRPr="004C39EB">
        <w:rPr>
          <w:lang w:val="en-US"/>
        </w:rPr>
        <w:t> By using “Non-Food Credit” as a proxy, the study leaves out major segments like loans from NBFCs and informal lenders. In a country like India, where a lot of credit activity happens outside the traditional banking system, this omission could skew the overall picture.</w:t>
      </w:r>
    </w:p>
    <w:p w14:paraId="3351BA3C" w14:textId="77777777" w:rsidR="004C39EB" w:rsidRPr="004C39EB" w:rsidRDefault="004C39EB" w:rsidP="0036128C">
      <w:pPr>
        <w:spacing w:line="360" w:lineRule="auto"/>
        <w:jc w:val="both"/>
        <w:rPr>
          <w:lang w:val="en-US"/>
        </w:rPr>
      </w:pPr>
      <w:r w:rsidRPr="004C39EB">
        <w:rPr>
          <w:b/>
          <w:bCs/>
          <w:lang w:val="en-US"/>
        </w:rPr>
        <w:t>Data Smoothing Masks Signals:</w:t>
      </w:r>
      <w:r w:rsidRPr="004C39EB">
        <w:rPr>
          <w:lang w:val="en-US"/>
        </w:rPr>
        <w:t> The study converts monthly credit data into fortnightly figures using cubic spline interpolation. While this helps fill the gaps, it also smooths out sharp fluctuations. As a result, some early warning signs or short-term shocks might get overlooked.</w:t>
      </w:r>
    </w:p>
    <w:p w14:paraId="61625ED8" w14:textId="77777777" w:rsidR="004C39EB" w:rsidRPr="004C39EB" w:rsidRDefault="004C39EB" w:rsidP="0036128C">
      <w:pPr>
        <w:spacing w:line="360" w:lineRule="auto"/>
        <w:jc w:val="both"/>
        <w:rPr>
          <w:lang w:val="en-US"/>
        </w:rPr>
      </w:pPr>
      <w:r w:rsidRPr="004C39EB">
        <w:rPr>
          <w:b/>
          <w:bCs/>
          <w:lang w:val="en-US"/>
        </w:rPr>
        <w:t>Important Variables Left Out:</w:t>
      </w:r>
      <w:r w:rsidRPr="004C39EB">
        <w:rPr>
          <w:lang w:val="en-US"/>
        </w:rPr>
        <w:t> Key macroeconomic factors such as inflation expectations, unexpected changes in interest rates, and capital inflows or outflows aren’t included in the model. Adding these into a more advanced framework like FAVAR or BVAR could help draw more accurate conclusions.</w:t>
      </w:r>
    </w:p>
    <w:p w14:paraId="15DD7683" w14:textId="77777777" w:rsidR="004C39EB" w:rsidRPr="004C39EB" w:rsidRDefault="004C39EB" w:rsidP="0036128C">
      <w:pPr>
        <w:spacing w:line="360" w:lineRule="auto"/>
        <w:jc w:val="both"/>
        <w:rPr>
          <w:lang w:val="en-US"/>
        </w:rPr>
      </w:pPr>
      <w:r w:rsidRPr="004C39EB">
        <w:rPr>
          <w:b/>
          <w:bCs/>
          <w:lang w:val="en-US"/>
        </w:rPr>
        <w:t>Assumption of Linearity:</w:t>
      </w:r>
      <w:r w:rsidRPr="004C39EB">
        <w:rPr>
          <w:lang w:val="en-US"/>
        </w:rPr>
        <w:t> Even though the model accounts for changes over time, it treats relationships as linear within each window. That might not hold true during financial stress or crisis periods. Using models like Markov-switching VAR or smooth-transition VAR could better capture the complex, nonlinear dynamics during such times.</w:t>
      </w:r>
    </w:p>
    <w:p w14:paraId="6C184499" w14:textId="77777777" w:rsidR="004C39EB" w:rsidRPr="004C39EB" w:rsidRDefault="004C39EB" w:rsidP="0036128C">
      <w:pPr>
        <w:spacing w:line="360" w:lineRule="auto"/>
        <w:jc w:val="both"/>
        <w:rPr>
          <w:lang w:val="en-US"/>
        </w:rPr>
      </w:pPr>
      <w:r w:rsidRPr="004C39EB">
        <w:rPr>
          <w:b/>
          <w:bCs/>
          <w:lang w:val="en-US"/>
        </w:rPr>
        <w:t>Limited Recognition of Past Crises:</w:t>
      </w:r>
      <w:r w:rsidRPr="004C39EB">
        <w:rPr>
          <w:lang w:val="en-US"/>
        </w:rPr>
        <w:t> The model detects structural breaks during COVID-19 but misses other major events like the 2013 taper tantrum or the IL&amp;FS default. This suggests the current setup might only pick up very large, system-wide shocks. Future studies should explore why smaller, yet significant, events don’t register and how to improve that sensitivity.</w:t>
      </w:r>
    </w:p>
    <w:p w14:paraId="7A0C8695" w14:textId="77777777" w:rsidR="004C39EB" w:rsidRPr="004C39EB" w:rsidRDefault="004C39EB" w:rsidP="0036128C">
      <w:pPr>
        <w:spacing w:line="360" w:lineRule="auto"/>
        <w:jc w:val="both"/>
        <w:rPr>
          <w:lang w:val="en-US"/>
        </w:rPr>
      </w:pPr>
      <w:r w:rsidRPr="004C39EB">
        <w:rPr>
          <w:lang w:val="en-US"/>
        </w:rPr>
        <w:t>Looking ahead, improving the frequency of data, incorporating policy measures, and analyzing how risks spill across borders would be valuable next steps to build a more effective early-warning system.</w:t>
      </w:r>
    </w:p>
    <w:p w14:paraId="00340BF2" w14:textId="5A1F5541" w:rsidR="004C39EB" w:rsidRPr="004C39EB" w:rsidRDefault="004C39EB" w:rsidP="004B5321">
      <w:pPr>
        <w:pStyle w:val="Heading1"/>
      </w:pPr>
      <w:bookmarkStart w:id="48" w:name="_Toc200973186"/>
      <w:r w:rsidRPr="004C39EB">
        <w:lastRenderedPageBreak/>
        <w:t>6. Conclusion</w:t>
      </w:r>
      <w:bookmarkStart w:id="49" w:name="_Hlk200898839"/>
      <w:bookmarkEnd w:id="48"/>
    </w:p>
    <w:bookmarkEnd w:id="49"/>
    <w:p w14:paraId="456725FB" w14:textId="77777777" w:rsidR="007A355E" w:rsidRPr="007A355E" w:rsidRDefault="007A355E" w:rsidP="0036128C">
      <w:pPr>
        <w:spacing w:line="360" w:lineRule="auto"/>
        <w:jc w:val="both"/>
        <w:rPr>
          <w:lang w:val="en-US"/>
        </w:rPr>
      </w:pPr>
      <w:r w:rsidRPr="007A355E">
        <w:rPr>
          <w:lang w:val="en-US"/>
        </w:rPr>
        <w:t>This thesis looks into whether high exchange rates and private sector credit booms are tied to financial instability in India. Using detailed data collected every two weeks between 2017 and 2025, and applying a rolling VAR model, the findings show a clear pattern: credit shocks usually come before the rupee starts to lose value. On the other hand, changes in the exchange rate don’t have a consistent or strong effect on credit.</w:t>
      </w:r>
    </w:p>
    <w:p w14:paraId="2128D9DD" w14:textId="1A0B7F49" w:rsidR="007A355E" w:rsidRPr="007A355E" w:rsidRDefault="007A355E" w:rsidP="0036128C">
      <w:pPr>
        <w:spacing w:line="360" w:lineRule="auto"/>
        <w:jc w:val="both"/>
        <w:rPr>
          <w:lang w:val="en-US"/>
        </w:rPr>
      </w:pPr>
      <w:r w:rsidRPr="007A355E">
        <w:rPr>
          <w:lang w:val="en-US"/>
        </w:rPr>
        <w:t>A key shift in this pattern happened around late 2019, which lines up with the global liquidity shock caused by COVID-19. This points to the idea that major global events</w:t>
      </w:r>
      <w:r w:rsidR="00616546">
        <w:rPr>
          <w:lang w:val="en-US"/>
        </w:rPr>
        <w:t xml:space="preserve"> </w:t>
      </w:r>
      <w:r w:rsidRPr="007A355E">
        <w:rPr>
          <w:lang w:val="en-US"/>
        </w:rPr>
        <w:t>more than local issues like the IL&amp;FS default or the 2013 taper tantrum</w:t>
      </w:r>
      <w:r w:rsidR="00616546">
        <w:rPr>
          <w:lang w:val="en-US"/>
        </w:rPr>
        <w:t xml:space="preserve"> </w:t>
      </w:r>
      <w:r w:rsidRPr="007A355E">
        <w:rPr>
          <w:lang w:val="en-US"/>
        </w:rPr>
        <w:t>are more likely to cause bigger changes in how credit and exchange rates affect each other.</w:t>
      </w:r>
    </w:p>
    <w:p w14:paraId="373AB84C" w14:textId="55EEEFBE" w:rsidR="007A355E" w:rsidRPr="007A355E" w:rsidRDefault="007A355E" w:rsidP="0036128C">
      <w:pPr>
        <w:spacing w:line="360" w:lineRule="auto"/>
        <w:jc w:val="both"/>
        <w:rPr>
          <w:lang w:val="en-US"/>
        </w:rPr>
      </w:pPr>
      <w:r w:rsidRPr="007A355E">
        <w:rPr>
          <w:lang w:val="en-US"/>
        </w:rPr>
        <w:t>There are two takeaways for policymakers. First, keeping an eye on the rolling β coefficient</w:t>
      </w:r>
      <w:r w:rsidR="00616546">
        <w:rPr>
          <w:lang w:val="en-US"/>
        </w:rPr>
        <w:t xml:space="preserve"> </w:t>
      </w:r>
      <w:r w:rsidRPr="007A355E">
        <w:rPr>
          <w:lang w:val="en-US"/>
        </w:rPr>
        <w:t>which shows how credit influences currency</w:t>
      </w:r>
      <w:r w:rsidR="00616546">
        <w:rPr>
          <w:lang w:val="en-US"/>
        </w:rPr>
        <w:t xml:space="preserve"> </w:t>
      </w:r>
      <w:r w:rsidRPr="007A355E">
        <w:rPr>
          <w:lang w:val="en-US"/>
        </w:rPr>
        <w:t>could help spot early warning signs, giving regulators a couple of months' heads-up before serious exchange rate pressure builds. Second, the uneven way credit and exchange rates influence each other suggests that keeping credit growth in check might help prevent broader financial trouble.</w:t>
      </w:r>
    </w:p>
    <w:p w14:paraId="62BCFA3F" w14:textId="04CB92C1" w:rsidR="007A355E" w:rsidRPr="007A355E" w:rsidRDefault="007A355E" w:rsidP="0036128C">
      <w:pPr>
        <w:spacing w:line="360" w:lineRule="auto"/>
        <w:jc w:val="both"/>
        <w:rPr>
          <w:lang w:val="en-US"/>
        </w:rPr>
      </w:pPr>
      <w:r w:rsidRPr="007A355E">
        <w:rPr>
          <w:lang w:val="en-US"/>
        </w:rPr>
        <w:t>That said, there are some limitations. The measure used for private credit depends on estimated data and doesn’t cover informal lending, which plays a big role in India. Also, key macroeconomic factors like inflation, capital flows, and policy rate changes weren’t part of the main model. Future research could fill in these gaps by using more frequent NBFC data, trying out more complex model</w:t>
      </w:r>
      <w:r>
        <w:rPr>
          <w:lang w:val="en-US"/>
        </w:rPr>
        <w:t xml:space="preserve"> </w:t>
      </w:r>
      <w:r w:rsidR="00616546">
        <w:rPr>
          <w:lang w:val="en-US"/>
        </w:rPr>
        <w:t>like</w:t>
      </w:r>
      <w:r w:rsidR="00616546" w:rsidRPr="007A355E">
        <w:rPr>
          <w:lang w:val="en-US"/>
        </w:rPr>
        <w:t xml:space="preserve"> smooth</w:t>
      </w:r>
      <w:r w:rsidRPr="007A355E">
        <w:rPr>
          <w:lang w:val="en-US"/>
        </w:rPr>
        <w:t>-transition VAR, and looking at how financial shocks spread across countries using a Global VAR setup.</w:t>
      </w:r>
    </w:p>
    <w:p w14:paraId="06D93D66" w14:textId="1B8B516A" w:rsidR="007A355E" w:rsidRPr="007A355E" w:rsidRDefault="007A355E" w:rsidP="0036128C">
      <w:pPr>
        <w:spacing w:line="360" w:lineRule="auto"/>
        <w:jc w:val="both"/>
        <w:rPr>
          <w:lang w:val="en-US"/>
        </w:rPr>
      </w:pPr>
      <w:r w:rsidRPr="007A355E">
        <w:rPr>
          <w:lang w:val="en-US"/>
        </w:rPr>
        <w:t xml:space="preserve">By </w:t>
      </w:r>
      <w:r w:rsidR="008D3A14">
        <w:rPr>
          <w:lang w:val="en-US"/>
        </w:rPr>
        <w:t xml:space="preserve">focusing </w:t>
      </w:r>
      <w:r w:rsidR="008D3A14" w:rsidRPr="007A355E">
        <w:rPr>
          <w:lang w:val="en-US"/>
        </w:rPr>
        <w:t>in</w:t>
      </w:r>
      <w:r w:rsidRPr="007A355E">
        <w:rPr>
          <w:lang w:val="en-US"/>
        </w:rPr>
        <w:t xml:space="preserve"> on India’s unique mix of credit systems and exchange rate rules, this thesis offers a flexible way to spot early signs of financial trouble</w:t>
      </w:r>
      <w:r w:rsidR="00616546">
        <w:rPr>
          <w:lang w:val="en-US"/>
        </w:rPr>
        <w:t xml:space="preserve"> </w:t>
      </w:r>
      <w:r w:rsidRPr="007A355E">
        <w:rPr>
          <w:lang w:val="en-US"/>
        </w:rPr>
        <w:t>something that could help both researchers and policymakers going forward.</w:t>
      </w:r>
    </w:p>
    <w:p w14:paraId="2B1FDACB" w14:textId="7CFF988B" w:rsidR="00453F9A" w:rsidRDefault="00453F9A">
      <w:pPr>
        <w:rPr>
          <w:lang w:val="en-US"/>
        </w:rPr>
      </w:pPr>
      <w:r>
        <w:rPr>
          <w:lang w:val="en-US"/>
        </w:rPr>
        <w:br w:type="page"/>
      </w:r>
    </w:p>
    <w:p w14:paraId="748BF8D7" w14:textId="77777777" w:rsidR="00513751" w:rsidRPr="00513751" w:rsidRDefault="00513751" w:rsidP="00513751">
      <w:pPr>
        <w:rPr>
          <w:lang w:val="en-US"/>
        </w:rPr>
      </w:pPr>
    </w:p>
    <w:p w14:paraId="0019678E" w14:textId="7DABA541" w:rsidR="00513751" w:rsidRPr="00513751" w:rsidRDefault="004C39EB" w:rsidP="004B5321">
      <w:pPr>
        <w:pStyle w:val="Heading1"/>
      </w:pPr>
      <w:bookmarkStart w:id="50" w:name="_Hlk201933481"/>
      <w:r>
        <w:t>7.</w:t>
      </w:r>
      <w:r w:rsidR="001A12D7">
        <w:t xml:space="preserve"> </w:t>
      </w:r>
      <w:bookmarkStart w:id="51" w:name="_Toc200973187"/>
      <w:r w:rsidR="00513751" w:rsidRPr="00513751">
        <w:t>Reference List</w:t>
      </w:r>
      <w:bookmarkEnd w:id="51"/>
    </w:p>
    <w:p w14:paraId="771E720B" w14:textId="77777777" w:rsidR="0036649F" w:rsidRPr="0036649F" w:rsidRDefault="0036649F" w:rsidP="001A12D7">
      <w:pPr>
        <w:jc w:val="both"/>
        <w:rPr>
          <w:lang w:val="en-US"/>
        </w:rPr>
      </w:pPr>
      <w:proofErr w:type="spellStart"/>
      <w:r w:rsidRPr="0036649F">
        <w:rPr>
          <w:lang w:val="en-US"/>
        </w:rPr>
        <w:t>Borio</w:t>
      </w:r>
      <w:proofErr w:type="spellEnd"/>
      <w:r w:rsidRPr="0036649F">
        <w:rPr>
          <w:lang w:val="en-US"/>
        </w:rPr>
        <w:t xml:space="preserve">, C., &amp; </w:t>
      </w:r>
      <w:proofErr w:type="spellStart"/>
      <w:r w:rsidRPr="0036649F">
        <w:rPr>
          <w:lang w:val="en-US"/>
        </w:rPr>
        <w:t>Drehmann</w:t>
      </w:r>
      <w:proofErr w:type="spellEnd"/>
      <w:r w:rsidRPr="0036649F">
        <w:rPr>
          <w:lang w:val="en-US"/>
        </w:rPr>
        <w:t>, M. (2009, March). </w:t>
      </w:r>
      <w:r w:rsidRPr="0036649F">
        <w:rPr>
          <w:i/>
          <w:iCs/>
          <w:lang w:val="en-US"/>
        </w:rPr>
        <w:t>Assessing the risk of banking crises – revisited</w:t>
      </w:r>
      <w:r w:rsidRPr="0036649F">
        <w:rPr>
          <w:lang w:val="en-US"/>
        </w:rPr>
        <w:t>. </w:t>
      </w:r>
      <w:r w:rsidRPr="0036649F">
        <w:rPr>
          <w:i/>
          <w:iCs/>
          <w:lang w:val="en-US"/>
        </w:rPr>
        <w:t>BIS Quarterly Review</w:t>
      </w:r>
      <w:r w:rsidRPr="0036649F">
        <w:rPr>
          <w:lang w:val="en-US"/>
        </w:rPr>
        <w:t>, 29–46.</w:t>
      </w:r>
    </w:p>
    <w:p w14:paraId="660A15F7" w14:textId="77777777" w:rsidR="0036649F" w:rsidRPr="0036649F" w:rsidRDefault="0036649F" w:rsidP="001A12D7">
      <w:pPr>
        <w:jc w:val="both"/>
        <w:rPr>
          <w:lang w:val="en-US"/>
        </w:rPr>
      </w:pPr>
      <w:proofErr w:type="spellStart"/>
      <w:r w:rsidRPr="0036649F">
        <w:rPr>
          <w:lang w:val="en-US"/>
        </w:rPr>
        <w:t>Cerutti</w:t>
      </w:r>
      <w:proofErr w:type="spellEnd"/>
      <w:r w:rsidRPr="0036649F">
        <w:rPr>
          <w:lang w:val="en-US"/>
        </w:rPr>
        <w:t xml:space="preserve">, E., </w:t>
      </w:r>
      <w:proofErr w:type="spellStart"/>
      <w:r w:rsidRPr="0036649F">
        <w:rPr>
          <w:lang w:val="en-US"/>
        </w:rPr>
        <w:t>Claessens</w:t>
      </w:r>
      <w:proofErr w:type="spellEnd"/>
      <w:r w:rsidRPr="0036649F">
        <w:rPr>
          <w:lang w:val="en-US"/>
        </w:rPr>
        <w:t xml:space="preserve">, S., &amp; </w:t>
      </w:r>
      <w:proofErr w:type="spellStart"/>
      <w:r w:rsidRPr="0036649F">
        <w:rPr>
          <w:lang w:val="en-US"/>
        </w:rPr>
        <w:t>Laeven</w:t>
      </w:r>
      <w:proofErr w:type="spellEnd"/>
      <w:r w:rsidRPr="0036649F">
        <w:rPr>
          <w:lang w:val="en-US"/>
        </w:rPr>
        <w:t>, L. (2017). The use and effectiveness of macroprudential policies: New evidence. </w:t>
      </w:r>
      <w:r w:rsidRPr="0036649F">
        <w:rPr>
          <w:i/>
          <w:iCs/>
          <w:lang w:val="en-US"/>
        </w:rPr>
        <w:t>Journal of Financial Stability, 28</w:t>
      </w:r>
      <w:r w:rsidRPr="0036649F">
        <w:rPr>
          <w:lang w:val="en-US"/>
        </w:rPr>
        <w:t>, 203–224.</w:t>
      </w:r>
    </w:p>
    <w:p w14:paraId="2BF99C3E" w14:textId="68D5BE8A" w:rsidR="0036649F" w:rsidRPr="0036649F" w:rsidRDefault="0036649F" w:rsidP="001A12D7">
      <w:pPr>
        <w:jc w:val="both"/>
        <w:rPr>
          <w:lang w:val="en-US"/>
        </w:rPr>
      </w:pPr>
      <w:proofErr w:type="spellStart"/>
      <w:r w:rsidRPr="0036649F">
        <w:rPr>
          <w:lang w:val="en-US"/>
        </w:rPr>
        <w:t>Eichengreen</w:t>
      </w:r>
      <w:proofErr w:type="spellEnd"/>
      <w:r w:rsidRPr="0036649F">
        <w:rPr>
          <w:lang w:val="en-US"/>
        </w:rPr>
        <w:t>, B., &amp; Hausmann, R. (Eds.). (2005)</w:t>
      </w:r>
      <w:r w:rsidR="004C60C0">
        <w:rPr>
          <w:lang w:val="en-US"/>
        </w:rPr>
        <w:t xml:space="preserve">  </w:t>
      </w:r>
      <w:r w:rsidRPr="0036649F">
        <w:rPr>
          <w:lang w:val="en-US"/>
        </w:rPr>
        <w:t> </w:t>
      </w:r>
      <w:r w:rsidRPr="0036649F">
        <w:rPr>
          <w:i/>
          <w:iCs/>
          <w:lang w:val="en-US"/>
        </w:rPr>
        <w:t>Other people’s money: Debt denomination and financial instability in emerging-market economies</w:t>
      </w:r>
      <w:r w:rsidRPr="0036649F">
        <w:rPr>
          <w:lang w:val="en-US"/>
        </w:rPr>
        <w:t>. University of Chicago Press.</w:t>
      </w:r>
    </w:p>
    <w:p w14:paraId="21EBC580" w14:textId="77777777" w:rsidR="0036649F" w:rsidRPr="0036649F" w:rsidRDefault="0036649F" w:rsidP="001A12D7">
      <w:pPr>
        <w:jc w:val="both"/>
        <w:rPr>
          <w:lang w:val="en-US"/>
        </w:rPr>
      </w:pPr>
      <w:r w:rsidRPr="0036649F">
        <w:rPr>
          <w:lang w:val="en-US"/>
        </w:rPr>
        <w:t>Kaminsky, G. L., &amp; Reinhart, C. M. (1999). The twin crises: The causes of banking and balance-of-payments problems. </w:t>
      </w:r>
      <w:r w:rsidRPr="0036649F">
        <w:rPr>
          <w:i/>
          <w:iCs/>
          <w:lang w:val="en-US"/>
        </w:rPr>
        <w:t>American Economic Review, 89</w:t>
      </w:r>
      <w:r w:rsidRPr="0036649F">
        <w:rPr>
          <w:lang w:val="en-US"/>
        </w:rPr>
        <w:t>(3), 473–500.</w:t>
      </w:r>
    </w:p>
    <w:p w14:paraId="6D048435" w14:textId="77777777" w:rsidR="0036649F" w:rsidRPr="0036649F" w:rsidRDefault="0036649F" w:rsidP="001A12D7">
      <w:pPr>
        <w:jc w:val="both"/>
        <w:rPr>
          <w:lang w:val="en-US"/>
        </w:rPr>
      </w:pPr>
      <w:bookmarkStart w:id="52" w:name="_Hlk201931579"/>
      <w:proofErr w:type="spellStart"/>
      <w:r w:rsidRPr="0036649F">
        <w:rPr>
          <w:lang w:val="en-US"/>
        </w:rPr>
        <w:t>Kiyotaki</w:t>
      </w:r>
      <w:proofErr w:type="spellEnd"/>
      <w:r w:rsidRPr="0036649F">
        <w:rPr>
          <w:lang w:val="en-US"/>
        </w:rPr>
        <w:t xml:space="preserve">, N., &amp; Moore, </w:t>
      </w:r>
      <w:bookmarkEnd w:id="52"/>
      <w:r w:rsidRPr="0036649F">
        <w:rPr>
          <w:lang w:val="en-US"/>
        </w:rPr>
        <w:t>J. (1997). Credit cycles. </w:t>
      </w:r>
      <w:r w:rsidRPr="0036649F">
        <w:rPr>
          <w:i/>
          <w:iCs/>
          <w:lang w:val="en-US"/>
        </w:rPr>
        <w:t>Journal of Political Economy, 105</w:t>
      </w:r>
      <w:r w:rsidRPr="0036649F">
        <w:rPr>
          <w:lang w:val="en-US"/>
        </w:rPr>
        <w:t>(2), 211–248.</w:t>
      </w:r>
    </w:p>
    <w:p w14:paraId="6150D4BF" w14:textId="77777777" w:rsidR="0036649F" w:rsidRDefault="0036649F" w:rsidP="001A12D7">
      <w:pPr>
        <w:jc w:val="both"/>
        <w:rPr>
          <w:lang w:val="en-US"/>
        </w:rPr>
      </w:pPr>
      <w:bookmarkStart w:id="53" w:name="_Hlk201931603"/>
      <w:r w:rsidRPr="0036649F">
        <w:rPr>
          <w:lang w:val="en-US"/>
        </w:rPr>
        <w:t>Mukherjee, T. K., &amp; Naka</w:t>
      </w:r>
      <w:bookmarkEnd w:id="53"/>
      <w:r w:rsidRPr="0036649F">
        <w:rPr>
          <w:lang w:val="en-US"/>
        </w:rPr>
        <w:t>, A. (1995). Dynamics of the short-term interest rate and exchange rate pass-through in Japan: A vector error-correction approach. </w:t>
      </w:r>
      <w:r w:rsidRPr="0036649F">
        <w:rPr>
          <w:i/>
          <w:iCs/>
          <w:lang w:val="en-US"/>
        </w:rPr>
        <w:t>Journal of International Money and Finance, 14</w:t>
      </w:r>
      <w:r w:rsidRPr="0036649F">
        <w:rPr>
          <w:lang w:val="en-US"/>
        </w:rPr>
        <w:t>(2), 274–291.</w:t>
      </w:r>
    </w:p>
    <w:p w14:paraId="4F0FD31A" w14:textId="0BC6E255" w:rsidR="001A12D7" w:rsidRDefault="001A12D7" w:rsidP="001A12D7">
      <w:pPr>
        <w:jc w:val="both"/>
        <w:rPr>
          <w:lang w:val="en-US"/>
        </w:rPr>
      </w:pPr>
      <w:proofErr w:type="spellStart"/>
      <w:r w:rsidRPr="001A12D7">
        <w:t>Prabheesh</w:t>
      </w:r>
      <w:proofErr w:type="spellEnd"/>
      <w:r w:rsidRPr="001A12D7">
        <w:t>, K. P., Salim, R., &amp; Das, S. (2021). Exchange rate pass-through and bank credit in India. </w:t>
      </w:r>
      <w:r w:rsidRPr="001A12D7">
        <w:rPr>
          <w:i/>
          <w:iCs/>
        </w:rPr>
        <w:t>Economic Modelling, 94</w:t>
      </w:r>
      <w:r w:rsidRPr="001A12D7">
        <w:t>, 416–428.</w:t>
      </w:r>
    </w:p>
    <w:p w14:paraId="27EF4AC6" w14:textId="2A48CFC5" w:rsidR="001A12D7" w:rsidRPr="0036649F" w:rsidRDefault="001A12D7" w:rsidP="001A12D7">
      <w:pPr>
        <w:jc w:val="both"/>
        <w:rPr>
          <w:lang w:val="en-US"/>
        </w:rPr>
      </w:pPr>
      <w:r w:rsidRPr="001A12D7">
        <w:t>Gertler, M., &amp; Gilchrist, S. (1994</w:t>
      </w:r>
      <w:r w:rsidRPr="001A12D7">
        <w:rPr>
          <w:b/>
          <w:bCs/>
        </w:rPr>
        <w:t>).</w:t>
      </w:r>
      <w:r w:rsidRPr="001A12D7">
        <w:t xml:space="preserve"> Monetary policy, business cycles, and the </w:t>
      </w:r>
      <w:proofErr w:type="spellStart"/>
      <w:r w:rsidRPr="001A12D7">
        <w:t>behavior</w:t>
      </w:r>
      <w:proofErr w:type="spellEnd"/>
      <w:r w:rsidRPr="001A12D7">
        <w:t xml:space="preserve"> of small manufacturing firms. </w:t>
      </w:r>
      <w:r w:rsidRPr="001A12D7">
        <w:rPr>
          <w:i/>
          <w:iCs/>
        </w:rPr>
        <w:t>The Quarterly Journal of Economics, 109</w:t>
      </w:r>
      <w:r w:rsidRPr="001A12D7">
        <w:t>(2), 309–340.</w:t>
      </w:r>
    </w:p>
    <w:p w14:paraId="63B4D91E" w14:textId="77777777" w:rsidR="0036649F" w:rsidRPr="0036649F" w:rsidRDefault="0036649F" w:rsidP="001A12D7">
      <w:pPr>
        <w:jc w:val="both"/>
        <w:rPr>
          <w:lang w:val="en-US"/>
        </w:rPr>
      </w:pPr>
      <w:r w:rsidRPr="0036649F">
        <w:rPr>
          <w:lang w:val="en-US"/>
        </w:rPr>
        <w:t>Reserve Bank of India. (2021). </w:t>
      </w:r>
      <w:r w:rsidRPr="0036649F">
        <w:rPr>
          <w:i/>
          <w:iCs/>
          <w:lang w:val="en-US"/>
        </w:rPr>
        <w:t>Financial stability report</w:t>
      </w:r>
      <w:r w:rsidRPr="0036649F">
        <w:rPr>
          <w:lang w:val="en-US"/>
        </w:rPr>
        <w:t> (Issue 23).</w:t>
      </w:r>
    </w:p>
    <w:p w14:paraId="2BFA41AC" w14:textId="77777777" w:rsidR="0036649F" w:rsidRPr="0036649F" w:rsidRDefault="0036649F" w:rsidP="001A12D7">
      <w:pPr>
        <w:jc w:val="both"/>
        <w:rPr>
          <w:lang w:val="en-US"/>
        </w:rPr>
      </w:pPr>
      <w:r w:rsidRPr="0036649F">
        <w:rPr>
          <w:lang w:val="en-US"/>
        </w:rPr>
        <w:t>World Bank. (2024). </w:t>
      </w:r>
      <w:r w:rsidRPr="0036649F">
        <w:rPr>
          <w:i/>
          <w:iCs/>
          <w:lang w:val="en-US"/>
        </w:rPr>
        <w:t>Global economic prospects: Fragmentation and resilience</w:t>
      </w:r>
      <w:r w:rsidRPr="0036649F">
        <w:rPr>
          <w:lang w:val="en-US"/>
        </w:rPr>
        <w:t>.</w:t>
      </w:r>
    </w:p>
    <w:bookmarkEnd w:id="50"/>
    <w:p w14:paraId="4529CC8B" w14:textId="77777777" w:rsidR="00C83493" w:rsidRPr="009507E5" w:rsidRDefault="00C83493" w:rsidP="00BF44EF">
      <w:pPr>
        <w:rPr>
          <w:lang w:val="en-US"/>
        </w:rPr>
      </w:pPr>
    </w:p>
    <w:p w14:paraId="66AE7BB9" w14:textId="77777777" w:rsidR="002039E9" w:rsidRPr="00667E03" w:rsidRDefault="002039E9" w:rsidP="00BF44EF">
      <w:pPr>
        <w:rPr>
          <w:lang w:val="fr-FR"/>
        </w:rPr>
      </w:pPr>
    </w:p>
    <w:p w14:paraId="4ECD5BD2" w14:textId="77777777" w:rsidR="002039E9" w:rsidRPr="00667E03" w:rsidRDefault="002039E9" w:rsidP="00BF44EF">
      <w:pPr>
        <w:rPr>
          <w:lang w:val="fr-FR"/>
        </w:rPr>
      </w:pPr>
    </w:p>
    <w:p w14:paraId="37486B8B" w14:textId="77777777" w:rsidR="002039E9" w:rsidRPr="00667E03" w:rsidRDefault="002039E9" w:rsidP="00BF44EF">
      <w:pPr>
        <w:rPr>
          <w:lang w:val="fr-FR"/>
        </w:rPr>
      </w:pPr>
    </w:p>
    <w:p w14:paraId="70528EAE" w14:textId="77777777" w:rsidR="002039E9" w:rsidRPr="00667E03" w:rsidRDefault="002039E9" w:rsidP="00BF44EF">
      <w:pPr>
        <w:rPr>
          <w:lang w:val="fr-FR"/>
        </w:rPr>
      </w:pPr>
    </w:p>
    <w:p w14:paraId="2A38AB96" w14:textId="77777777" w:rsidR="002039E9" w:rsidRPr="00667E03" w:rsidRDefault="002039E9" w:rsidP="00BF44EF">
      <w:pPr>
        <w:rPr>
          <w:lang w:val="fr-FR"/>
        </w:rPr>
      </w:pPr>
    </w:p>
    <w:p w14:paraId="5B1B756E" w14:textId="77777777" w:rsidR="002039E9" w:rsidRPr="00667E03" w:rsidRDefault="002039E9" w:rsidP="00BF44EF">
      <w:pPr>
        <w:rPr>
          <w:lang w:val="fr-FR"/>
        </w:rPr>
      </w:pPr>
    </w:p>
    <w:p w14:paraId="4774D1EE" w14:textId="77777777" w:rsidR="002039E9" w:rsidRPr="00667E03" w:rsidRDefault="002039E9" w:rsidP="00BF44EF">
      <w:pPr>
        <w:rPr>
          <w:lang w:val="fr-FR"/>
        </w:rPr>
      </w:pPr>
    </w:p>
    <w:p w14:paraId="67A6708C" w14:textId="77777777" w:rsidR="002039E9" w:rsidRPr="00667E03" w:rsidRDefault="002039E9" w:rsidP="00BF44EF">
      <w:pPr>
        <w:rPr>
          <w:lang w:val="fr-FR"/>
        </w:rPr>
      </w:pPr>
    </w:p>
    <w:p w14:paraId="7738A9EF" w14:textId="77777777" w:rsidR="002039E9" w:rsidRPr="00667E03" w:rsidRDefault="002039E9" w:rsidP="00BF44EF">
      <w:pPr>
        <w:rPr>
          <w:lang w:val="fr-FR"/>
        </w:rPr>
      </w:pPr>
    </w:p>
    <w:p w14:paraId="53DC386C" w14:textId="77777777" w:rsidR="002039E9" w:rsidRPr="00667E03" w:rsidRDefault="002039E9" w:rsidP="00BF44EF">
      <w:pPr>
        <w:rPr>
          <w:lang w:val="fr-FR"/>
        </w:rPr>
      </w:pPr>
    </w:p>
    <w:p w14:paraId="426D7827" w14:textId="77777777" w:rsidR="002039E9" w:rsidRPr="00667E03" w:rsidRDefault="002039E9" w:rsidP="00BF44EF">
      <w:pPr>
        <w:rPr>
          <w:lang w:val="fr-FR"/>
        </w:rPr>
      </w:pPr>
    </w:p>
    <w:p w14:paraId="7CA73FBD" w14:textId="77777777" w:rsidR="002039E9" w:rsidRPr="00667E03" w:rsidRDefault="002039E9" w:rsidP="00BF44EF">
      <w:pPr>
        <w:rPr>
          <w:lang w:val="fr-FR"/>
        </w:rPr>
      </w:pPr>
    </w:p>
    <w:p w14:paraId="3745321E" w14:textId="77777777" w:rsidR="002039E9" w:rsidRPr="00667E03" w:rsidRDefault="002039E9" w:rsidP="00BF44EF">
      <w:pPr>
        <w:rPr>
          <w:lang w:val="fr-FR"/>
        </w:rPr>
      </w:pPr>
    </w:p>
    <w:p w14:paraId="74A0777F" w14:textId="77777777" w:rsidR="002039E9" w:rsidRPr="00667E03" w:rsidRDefault="002039E9" w:rsidP="00BF44EF">
      <w:pPr>
        <w:rPr>
          <w:lang w:val="fr-FR"/>
        </w:rPr>
      </w:pPr>
    </w:p>
    <w:p w14:paraId="4B1531BB" w14:textId="77777777" w:rsidR="002039E9" w:rsidRPr="00667E03" w:rsidRDefault="002039E9" w:rsidP="00BF44EF">
      <w:pPr>
        <w:rPr>
          <w:lang w:val="fr-FR"/>
        </w:rPr>
      </w:pPr>
    </w:p>
    <w:p w14:paraId="0721B0AC" w14:textId="77777777" w:rsidR="002039E9" w:rsidRPr="00667E03" w:rsidRDefault="002039E9" w:rsidP="00BF44EF">
      <w:pPr>
        <w:rPr>
          <w:lang w:val="fr-FR"/>
        </w:rPr>
      </w:pPr>
    </w:p>
    <w:p w14:paraId="328372E1" w14:textId="77777777" w:rsidR="002039E9" w:rsidRPr="00667E03" w:rsidRDefault="002039E9" w:rsidP="00BF44EF">
      <w:pPr>
        <w:rPr>
          <w:lang w:val="fr-FR"/>
        </w:rPr>
      </w:pPr>
    </w:p>
    <w:p w14:paraId="77DAE4A5" w14:textId="77777777" w:rsidR="002039E9" w:rsidRPr="00667E03" w:rsidRDefault="002039E9" w:rsidP="00BF44EF">
      <w:pPr>
        <w:rPr>
          <w:lang w:val="fr-FR"/>
        </w:rPr>
      </w:pPr>
    </w:p>
    <w:p w14:paraId="23829603" w14:textId="77777777" w:rsidR="002039E9" w:rsidRPr="00667E03" w:rsidRDefault="002039E9" w:rsidP="00BF44EF">
      <w:pPr>
        <w:rPr>
          <w:lang w:val="fr-FR"/>
        </w:rPr>
      </w:pPr>
    </w:p>
    <w:p w14:paraId="63C1C588" w14:textId="77777777" w:rsidR="002039E9" w:rsidRPr="00667E03" w:rsidRDefault="002039E9" w:rsidP="00BF44EF">
      <w:pPr>
        <w:rPr>
          <w:lang w:val="fr-FR"/>
        </w:rPr>
      </w:pPr>
    </w:p>
    <w:p w14:paraId="1BC3E772" w14:textId="77777777" w:rsidR="002039E9" w:rsidRPr="00667E03" w:rsidRDefault="002039E9" w:rsidP="00BF44EF">
      <w:pPr>
        <w:rPr>
          <w:lang w:val="fr-FR"/>
        </w:rPr>
      </w:pPr>
    </w:p>
    <w:sectPr w:rsidR="002039E9" w:rsidRPr="00667E03" w:rsidSect="0047429E">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2E91F" w14:textId="77777777" w:rsidR="00E61776" w:rsidRDefault="00E61776" w:rsidP="002A5256">
      <w:pPr>
        <w:spacing w:after="0" w:line="240" w:lineRule="auto"/>
      </w:pPr>
      <w:r>
        <w:separator/>
      </w:r>
    </w:p>
  </w:endnote>
  <w:endnote w:type="continuationSeparator" w:id="0">
    <w:p w14:paraId="329F2B65" w14:textId="77777777" w:rsidR="00E61776" w:rsidRDefault="00E61776" w:rsidP="002A5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0475123"/>
      <w:docPartObj>
        <w:docPartGallery w:val="Page Numbers (Bottom of Page)"/>
        <w:docPartUnique/>
      </w:docPartObj>
    </w:sdtPr>
    <w:sdtContent>
      <w:p w14:paraId="2656170D" w14:textId="77777777" w:rsidR="002A5256" w:rsidRDefault="002A5256">
        <w:pPr>
          <w:pStyle w:val="Footer"/>
          <w:jc w:val="right"/>
        </w:pPr>
        <w:r>
          <w:fldChar w:fldCharType="begin"/>
        </w:r>
        <w:r>
          <w:instrText>PAGE   \* MERGEFORMAT</w:instrText>
        </w:r>
        <w:r>
          <w:fldChar w:fldCharType="separate"/>
        </w:r>
        <w:r>
          <w:rPr>
            <w:lang w:val="fr-FR"/>
          </w:rPr>
          <w:t>2</w:t>
        </w:r>
        <w:r>
          <w:fldChar w:fldCharType="end"/>
        </w:r>
      </w:p>
    </w:sdtContent>
  </w:sdt>
  <w:p w14:paraId="4FBF25D6" w14:textId="77777777" w:rsidR="002A5256" w:rsidRDefault="002A5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DB532" w14:textId="77777777" w:rsidR="00E61776" w:rsidRDefault="00E61776" w:rsidP="002A5256">
      <w:pPr>
        <w:spacing w:after="0" w:line="240" w:lineRule="auto"/>
      </w:pPr>
      <w:r>
        <w:separator/>
      </w:r>
    </w:p>
  </w:footnote>
  <w:footnote w:type="continuationSeparator" w:id="0">
    <w:p w14:paraId="2CFAB1D2" w14:textId="77777777" w:rsidR="00E61776" w:rsidRDefault="00E61776" w:rsidP="002A5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E62EB"/>
    <w:multiLevelType w:val="multilevel"/>
    <w:tmpl w:val="3748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C5643"/>
    <w:multiLevelType w:val="multilevel"/>
    <w:tmpl w:val="153C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210FC"/>
    <w:multiLevelType w:val="hybridMultilevel"/>
    <w:tmpl w:val="986CF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F356CE"/>
    <w:multiLevelType w:val="multilevel"/>
    <w:tmpl w:val="BEC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043D"/>
    <w:multiLevelType w:val="multilevel"/>
    <w:tmpl w:val="B5A89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D46DE"/>
    <w:multiLevelType w:val="multilevel"/>
    <w:tmpl w:val="EB3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66568"/>
    <w:multiLevelType w:val="multilevel"/>
    <w:tmpl w:val="3F66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255E9"/>
    <w:multiLevelType w:val="multilevel"/>
    <w:tmpl w:val="310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B6ABA"/>
    <w:multiLevelType w:val="multilevel"/>
    <w:tmpl w:val="3C8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B470A"/>
    <w:multiLevelType w:val="multilevel"/>
    <w:tmpl w:val="0B3E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4AD3"/>
    <w:multiLevelType w:val="multilevel"/>
    <w:tmpl w:val="A95A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C3AF7"/>
    <w:multiLevelType w:val="multilevel"/>
    <w:tmpl w:val="C830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32A19"/>
    <w:multiLevelType w:val="multilevel"/>
    <w:tmpl w:val="56F4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5455C"/>
    <w:multiLevelType w:val="multilevel"/>
    <w:tmpl w:val="59F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B678D"/>
    <w:multiLevelType w:val="multilevel"/>
    <w:tmpl w:val="C312039A"/>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5" w15:restartNumberingAfterBreak="0">
    <w:nsid w:val="26036D7C"/>
    <w:multiLevelType w:val="multilevel"/>
    <w:tmpl w:val="E0C4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0315B1"/>
    <w:multiLevelType w:val="multilevel"/>
    <w:tmpl w:val="AD8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B6D42"/>
    <w:multiLevelType w:val="multilevel"/>
    <w:tmpl w:val="80E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20D8B"/>
    <w:multiLevelType w:val="multilevel"/>
    <w:tmpl w:val="721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02ACB"/>
    <w:multiLevelType w:val="multilevel"/>
    <w:tmpl w:val="E5E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A3BC1"/>
    <w:multiLevelType w:val="multilevel"/>
    <w:tmpl w:val="AB4ABFD4"/>
    <w:lvl w:ilvl="0">
      <w:start w:val="1"/>
      <w:numFmt w:val="decimal"/>
      <w:lvlText w:val="%1."/>
      <w:lvlJc w:val="left"/>
      <w:pPr>
        <w:ind w:left="360" w:hanging="360"/>
      </w:pPr>
      <w:rPr>
        <w:rFonts w:hint="default"/>
        <w:sz w:val="28"/>
        <w:szCs w:val="28"/>
      </w:rPr>
    </w:lvl>
    <w:lvl w:ilvl="1">
      <w:start w:val="1"/>
      <w:numFmt w:val="decimal"/>
      <w:isLgl/>
      <w:lvlText w:val="%1.%2."/>
      <w:lvlJc w:val="left"/>
      <w:pPr>
        <w:ind w:left="-3882" w:hanging="720"/>
      </w:pPr>
      <w:rPr>
        <w:rFonts w:hint="default"/>
        <w:sz w:val="28"/>
        <w:szCs w:val="28"/>
      </w:rPr>
    </w:lvl>
    <w:lvl w:ilvl="2">
      <w:start w:val="1"/>
      <w:numFmt w:val="decimal"/>
      <w:isLgl/>
      <w:lvlText w:val="%1.%2.%3."/>
      <w:lvlJc w:val="left"/>
      <w:pPr>
        <w:ind w:left="-3882" w:hanging="720"/>
      </w:pPr>
      <w:rPr>
        <w:rFonts w:ascii="Times New Roman" w:hAnsi="Times New Roman" w:cs="Times New Roman" w:hint="default"/>
        <w:b/>
        <w:bCs/>
      </w:rPr>
    </w:lvl>
    <w:lvl w:ilvl="3">
      <w:start w:val="1"/>
      <w:numFmt w:val="decimal"/>
      <w:isLgl/>
      <w:lvlText w:val="%1.%2.%3.%4."/>
      <w:lvlJc w:val="left"/>
      <w:pPr>
        <w:ind w:left="-3522" w:hanging="1080"/>
      </w:pPr>
      <w:rPr>
        <w:rFonts w:hint="default"/>
      </w:rPr>
    </w:lvl>
    <w:lvl w:ilvl="4">
      <w:start w:val="1"/>
      <w:numFmt w:val="decimal"/>
      <w:isLgl/>
      <w:lvlText w:val="%1.%2.%3.%4.%5."/>
      <w:lvlJc w:val="left"/>
      <w:pPr>
        <w:ind w:left="-3522" w:hanging="1080"/>
      </w:pPr>
      <w:rPr>
        <w:rFonts w:hint="default"/>
      </w:rPr>
    </w:lvl>
    <w:lvl w:ilvl="5">
      <w:start w:val="1"/>
      <w:numFmt w:val="decimal"/>
      <w:isLgl/>
      <w:lvlText w:val="%1.%2.%3.%4.%5.%6."/>
      <w:lvlJc w:val="left"/>
      <w:pPr>
        <w:ind w:left="-3162" w:hanging="1440"/>
      </w:pPr>
      <w:rPr>
        <w:rFonts w:hint="default"/>
      </w:rPr>
    </w:lvl>
    <w:lvl w:ilvl="6">
      <w:start w:val="1"/>
      <w:numFmt w:val="decimal"/>
      <w:isLgl/>
      <w:lvlText w:val="%1.%2.%3.%4.%5.%6.%7."/>
      <w:lvlJc w:val="left"/>
      <w:pPr>
        <w:ind w:left="-3162" w:hanging="1440"/>
      </w:pPr>
      <w:rPr>
        <w:rFonts w:hint="default"/>
      </w:rPr>
    </w:lvl>
    <w:lvl w:ilvl="7">
      <w:start w:val="1"/>
      <w:numFmt w:val="decimal"/>
      <w:isLgl/>
      <w:lvlText w:val="%1.%2.%3.%4.%5.%6.%7.%8."/>
      <w:lvlJc w:val="left"/>
      <w:pPr>
        <w:ind w:left="-2802" w:hanging="1800"/>
      </w:pPr>
      <w:rPr>
        <w:rFonts w:hint="default"/>
      </w:rPr>
    </w:lvl>
    <w:lvl w:ilvl="8">
      <w:start w:val="1"/>
      <w:numFmt w:val="decimal"/>
      <w:isLgl/>
      <w:lvlText w:val="%1.%2.%3.%4.%5.%6.%7.%8.%9."/>
      <w:lvlJc w:val="left"/>
      <w:pPr>
        <w:ind w:left="-2442" w:hanging="2160"/>
      </w:pPr>
      <w:rPr>
        <w:rFonts w:hint="default"/>
      </w:rPr>
    </w:lvl>
  </w:abstractNum>
  <w:abstractNum w:abstractNumId="21" w15:restartNumberingAfterBreak="0">
    <w:nsid w:val="372E0DB4"/>
    <w:multiLevelType w:val="hybridMultilevel"/>
    <w:tmpl w:val="D79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BE2E77"/>
    <w:multiLevelType w:val="multilevel"/>
    <w:tmpl w:val="7632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521829"/>
    <w:multiLevelType w:val="multilevel"/>
    <w:tmpl w:val="017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37AF6"/>
    <w:multiLevelType w:val="multilevel"/>
    <w:tmpl w:val="2B1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C3FFC"/>
    <w:multiLevelType w:val="multilevel"/>
    <w:tmpl w:val="B89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774A7"/>
    <w:multiLevelType w:val="multilevel"/>
    <w:tmpl w:val="D18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127F5"/>
    <w:multiLevelType w:val="multilevel"/>
    <w:tmpl w:val="3F88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701501"/>
    <w:multiLevelType w:val="multilevel"/>
    <w:tmpl w:val="FFDC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13045"/>
    <w:multiLevelType w:val="multilevel"/>
    <w:tmpl w:val="0C0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A57D4"/>
    <w:multiLevelType w:val="multilevel"/>
    <w:tmpl w:val="4E9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875CD8"/>
    <w:multiLevelType w:val="multilevel"/>
    <w:tmpl w:val="2B6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D2E75"/>
    <w:multiLevelType w:val="multilevel"/>
    <w:tmpl w:val="F7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8D4B1E"/>
    <w:multiLevelType w:val="multilevel"/>
    <w:tmpl w:val="0F88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F366B5"/>
    <w:multiLevelType w:val="multilevel"/>
    <w:tmpl w:val="13A8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A64355"/>
    <w:multiLevelType w:val="multilevel"/>
    <w:tmpl w:val="B92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55D9D"/>
    <w:multiLevelType w:val="multilevel"/>
    <w:tmpl w:val="289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C1CC5"/>
    <w:multiLevelType w:val="multilevel"/>
    <w:tmpl w:val="ADCE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EC78F4"/>
    <w:multiLevelType w:val="multilevel"/>
    <w:tmpl w:val="16EA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57239D"/>
    <w:multiLevelType w:val="multilevel"/>
    <w:tmpl w:val="FD28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2E351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63556DC"/>
    <w:multiLevelType w:val="multilevel"/>
    <w:tmpl w:val="DD10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BF07CF"/>
    <w:multiLevelType w:val="multilevel"/>
    <w:tmpl w:val="9D5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BC6B66"/>
    <w:multiLevelType w:val="multilevel"/>
    <w:tmpl w:val="CB72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C398B"/>
    <w:multiLevelType w:val="multilevel"/>
    <w:tmpl w:val="6FC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D97F7F"/>
    <w:multiLevelType w:val="multilevel"/>
    <w:tmpl w:val="0F02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466B23"/>
    <w:multiLevelType w:val="multilevel"/>
    <w:tmpl w:val="DF8C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C90C1B"/>
    <w:multiLevelType w:val="multilevel"/>
    <w:tmpl w:val="404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62325"/>
    <w:multiLevelType w:val="multilevel"/>
    <w:tmpl w:val="E5F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433B2"/>
    <w:multiLevelType w:val="multilevel"/>
    <w:tmpl w:val="D89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F56939"/>
    <w:multiLevelType w:val="multilevel"/>
    <w:tmpl w:val="EDD2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9D26B9"/>
    <w:multiLevelType w:val="multilevel"/>
    <w:tmpl w:val="84BA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2A2F5B"/>
    <w:multiLevelType w:val="hybridMultilevel"/>
    <w:tmpl w:val="E446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8E617F"/>
    <w:multiLevelType w:val="multilevel"/>
    <w:tmpl w:val="2A76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75179D"/>
    <w:multiLevelType w:val="multilevel"/>
    <w:tmpl w:val="18C8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064C68"/>
    <w:multiLevelType w:val="multilevel"/>
    <w:tmpl w:val="F12CB3E0"/>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num w:numId="1" w16cid:durableId="1659578619">
    <w:abstractNumId w:val="20"/>
  </w:num>
  <w:num w:numId="2" w16cid:durableId="1128818204">
    <w:abstractNumId w:val="34"/>
  </w:num>
  <w:num w:numId="3" w16cid:durableId="1718778597">
    <w:abstractNumId w:val="54"/>
  </w:num>
  <w:num w:numId="4" w16cid:durableId="923107090">
    <w:abstractNumId w:val="49"/>
  </w:num>
  <w:num w:numId="5" w16cid:durableId="1194735242">
    <w:abstractNumId w:val="16"/>
  </w:num>
  <w:num w:numId="6" w16cid:durableId="786198336">
    <w:abstractNumId w:val="38"/>
  </w:num>
  <w:num w:numId="7" w16cid:durableId="1462111947">
    <w:abstractNumId w:val="26"/>
  </w:num>
  <w:num w:numId="8" w16cid:durableId="1789540674">
    <w:abstractNumId w:val="28"/>
  </w:num>
  <w:num w:numId="9" w16cid:durableId="606279294">
    <w:abstractNumId w:val="31"/>
  </w:num>
  <w:num w:numId="10" w16cid:durableId="1597979428">
    <w:abstractNumId w:val="7"/>
  </w:num>
  <w:num w:numId="11" w16cid:durableId="26221616">
    <w:abstractNumId w:val="8"/>
  </w:num>
  <w:num w:numId="12" w16cid:durableId="785781865">
    <w:abstractNumId w:val="9"/>
  </w:num>
  <w:num w:numId="13" w16cid:durableId="806240265">
    <w:abstractNumId w:val="29"/>
  </w:num>
  <w:num w:numId="14" w16cid:durableId="593712360">
    <w:abstractNumId w:val="45"/>
  </w:num>
  <w:num w:numId="15" w16cid:durableId="1716927866">
    <w:abstractNumId w:val="12"/>
  </w:num>
  <w:num w:numId="16" w16cid:durableId="1026129100">
    <w:abstractNumId w:val="15"/>
  </w:num>
  <w:num w:numId="17" w16cid:durableId="1089811177">
    <w:abstractNumId w:val="51"/>
  </w:num>
  <w:num w:numId="18" w16cid:durableId="176895922">
    <w:abstractNumId w:val="33"/>
  </w:num>
  <w:num w:numId="19" w16cid:durableId="1306273718">
    <w:abstractNumId w:val="47"/>
  </w:num>
  <w:num w:numId="20" w16cid:durableId="323976158">
    <w:abstractNumId w:val="23"/>
  </w:num>
  <w:num w:numId="21" w16cid:durableId="1972899374">
    <w:abstractNumId w:val="22"/>
  </w:num>
  <w:num w:numId="22" w16cid:durableId="583564788">
    <w:abstractNumId w:val="25"/>
  </w:num>
  <w:num w:numId="23" w16cid:durableId="794904940">
    <w:abstractNumId w:val="27"/>
  </w:num>
  <w:num w:numId="24" w16cid:durableId="1761415469">
    <w:abstractNumId w:val="48"/>
  </w:num>
  <w:num w:numId="25" w16cid:durableId="1101536837">
    <w:abstractNumId w:val="19"/>
  </w:num>
  <w:num w:numId="26" w16cid:durableId="791553272">
    <w:abstractNumId w:val="44"/>
  </w:num>
  <w:num w:numId="27" w16cid:durableId="566451919">
    <w:abstractNumId w:val="39"/>
  </w:num>
  <w:num w:numId="28" w16cid:durableId="1238857810">
    <w:abstractNumId w:val="41"/>
  </w:num>
  <w:num w:numId="29" w16cid:durableId="1280794208">
    <w:abstractNumId w:val="13"/>
  </w:num>
  <w:num w:numId="30" w16cid:durableId="343485632">
    <w:abstractNumId w:val="37"/>
  </w:num>
  <w:num w:numId="31" w16cid:durableId="1597591283">
    <w:abstractNumId w:val="50"/>
  </w:num>
  <w:num w:numId="32" w16cid:durableId="153499734">
    <w:abstractNumId w:val="42"/>
  </w:num>
  <w:num w:numId="33" w16cid:durableId="1269000387">
    <w:abstractNumId w:val="18"/>
  </w:num>
  <w:num w:numId="34" w16cid:durableId="600797351">
    <w:abstractNumId w:val="43"/>
  </w:num>
  <w:num w:numId="35" w16cid:durableId="1062606320">
    <w:abstractNumId w:val="10"/>
  </w:num>
  <w:num w:numId="36" w16cid:durableId="1906262177">
    <w:abstractNumId w:val="1"/>
  </w:num>
  <w:num w:numId="37" w16cid:durableId="1113284123">
    <w:abstractNumId w:val="17"/>
  </w:num>
  <w:num w:numId="38" w16cid:durableId="571817537">
    <w:abstractNumId w:val="0"/>
  </w:num>
  <w:num w:numId="39" w16cid:durableId="1647858789">
    <w:abstractNumId w:val="6"/>
  </w:num>
  <w:num w:numId="40" w16cid:durableId="383796136">
    <w:abstractNumId w:val="55"/>
  </w:num>
  <w:num w:numId="41" w16cid:durableId="292448055">
    <w:abstractNumId w:val="32"/>
  </w:num>
  <w:num w:numId="42" w16cid:durableId="112478161">
    <w:abstractNumId w:val="24"/>
  </w:num>
  <w:num w:numId="43" w16cid:durableId="1019115833">
    <w:abstractNumId w:val="4"/>
  </w:num>
  <w:num w:numId="44" w16cid:durableId="1115444169">
    <w:abstractNumId w:val="35"/>
  </w:num>
  <w:num w:numId="45" w16cid:durableId="930164153">
    <w:abstractNumId w:val="30"/>
  </w:num>
  <w:num w:numId="46" w16cid:durableId="1263807400">
    <w:abstractNumId w:val="46"/>
  </w:num>
  <w:num w:numId="47" w16cid:durableId="1457721631">
    <w:abstractNumId w:val="5"/>
  </w:num>
  <w:num w:numId="48" w16cid:durableId="1193569404">
    <w:abstractNumId w:val="3"/>
  </w:num>
  <w:num w:numId="49" w16cid:durableId="1369378477">
    <w:abstractNumId w:val="53"/>
  </w:num>
  <w:num w:numId="50" w16cid:durableId="1209075861">
    <w:abstractNumId w:val="14"/>
  </w:num>
  <w:num w:numId="51" w16cid:durableId="1473014781">
    <w:abstractNumId w:val="36"/>
  </w:num>
  <w:num w:numId="52" w16cid:durableId="402529629">
    <w:abstractNumId w:val="11"/>
  </w:num>
  <w:num w:numId="53" w16cid:durableId="1513690312">
    <w:abstractNumId w:val="52"/>
  </w:num>
  <w:num w:numId="54" w16cid:durableId="1951934426">
    <w:abstractNumId w:val="2"/>
  </w:num>
  <w:num w:numId="55" w16cid:durableId="1874611052">
    <w:abstractNumId w:val="21"/>
  </w:num>
  <w:num w:numId="56" w16cid:durableId="8635944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E9"/>
    <w:rsid w:val="000470A4"/>
    <w:rsid w:val="000A4C50"/>
    <w:rsid w:val="000C55BA"/>
    <w:rsid w:val="00113569"/>
    <w:rsid w:val="00126A9D"/>
    <w:rsid w:val="001612C7"/>
    <w:rsid w:val="001A0142"/>
    <w:rsid w:val="001A12D7"/>
    <w:rsid w:val="001B2C11"/>
    <w:rsid w:val="001D1C3C"/>
    <w:rsid w:val="001F07AF"/>
    <w:rsid w:val="00201B01"/>
    <w:rsid w:val="002039E9"/>
    <w:rsid w:val="0023097B"/>
    <w:rsid w:val="0024751E"/>
    <w:rsid w:val="00252119"/>
    <w:rsid w:val="00255E87"/>
    <w:rsid w:val="00264E65"/>
    <w:rsid w:val="00274A38"/>
    <w:rsid w:val="00296723"/>
    <w:rsid w:val="002A5256"/>
    <w:rsid w:val="0036128C"/>
    <w:rsid w:val="0036649F"/>
    <w:rsid w:val="003A3432"/>
    <w:rsid w:val="003E1209"/>
    <w:rsid w:val="003E3DFF"/>
    <w:rsid w:val="003F06B3"/>
    <w:rsid w:val="003F3D5E"/>
    <w:rsid w:val="004415DE"/>
    <w:rsid w:val="00453F9A"/>
    <w:rsid w:val="0046006A"/>
    <w:rsid w:val="0047429E"/>
    <w:rsid w:val="00476CD5"/>
    <w:rsid w:val="00491A38"/>
    <w:rsid w:val="00497757"/>
    <w:rsid w:val="004B3E69"/>
    <w:rsid w:val="004B5321"/>
    <w:rsid w:val="004C39EB"/>
    <w:rsid w:val="004C60C0"/>
    <w:rsid w:val="004E4EB2"/>
    <w:rsid w:val="0050701C"/>
    <w:rsid w:val="00513751"/>
    <w:rsid w:val="005C36C0"/>
    <w:rsid w:val="00616546"/>
    <w:rsid w:val="00637EEF"/>
    <w:rsid w:val="006429A6"/>
    <w:rsid w:val="00667E03"/>
    <w:rsid w:val="00671015"/>
    <w:rsid w:val="0069351C"/>
    <w:rsid w:val="006D6B4C"/>
    <w:rsid w:val="00791D03"/>
    <w:rsid w:val="007A355E"/>
    <w:rsid w:val="007B4B4A"/>
    <w:rsid w:val="007C763A"/>
    <w:rsid w:val="007D4947"/>
    <w:rsid w:val="00857AC8"/>
    <w:rsid w:val="008808EA"/>
    <w:rsid w:val="008822BC"/>
    <w:rsid w:val="008D2BD4"/>
    <w:rsid w:val="008D3A14"/>
    <w:rsid w:val="008F02A5"/>
    <w:rsid w:val="009507E5"/>
    <w:rsid w:val="009A4E96"/>
    <w:rsid w:val="009B7F57"/>
    <w:rsid w:val="00A20F5B"/>
    <w:rsid w:val="00A253E4"/>
    <w:rsid w:val="00A84BE5"/>
    <w:rsid w:val="00AA0D2A"/>
    <w:rsid w:val="00B043D1"/>
    <w:rsid w:val="00B15A02"/>
    <w:rsid w:val="00B27C66"/>
    <w:rsid w:val="00B60237"/>
    <w:rsid w:val="00B67499"/>
    <w:rsid w:val="00BB2948"/>
    <w:rsid w:val="00BC1A10"/>
    <w:rsid w:val="00BF44EF"/>
    <w:rsid w:val="00C35848"/>
    <w:rsid w:val="00C83493"/>
    <w:rsid w:val="00CC700E"/>
    <w:rsid w:val="00CE7F7A"/>
    <w:rsid w:val="00D43E68"/>
    <w:rsid w:val="00E05799"/>
    <w:rsid w:val="00E07A2B"/>
    <w:rsid w:val="00E373AB"/>
    <w:rsid w:val="00E61776"/>
    <w:rsid w:val="00ED0E66"/>
    <w:rsid w:val="00EE7FC4"/>
    <w:rsid w:val="00EF4F75"/>
    <w:rsid w:val="00F05652"/>
    <w:rsid w:val="00F060BA"/>
    <w:rsid w:val="00F744F7"/>
    <w:rsid w:val="00FF5A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6520"/>
  <w15:chartTrackingRefBased/>
  <w15:docId w15:val="{3E0EDE6C-0118-8448-AF97-CD9185AF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7E5"/>
    <w:rPr>
      <w:rFonts w:ascii="Times New Roman" w:hAnsi="Times New Roman"/>
      <w:sz w:val="24"/>
      <w:szCs w:val="20"/>
      <w:lang w:val="en-ID" w:bidi="hi-IN"/>
    </w:rPr>
  </w:style>
  <w:style w:type="paragraph" w:styleId="Heading1">
    <w:name w:val="heading 1"/>
    <w:basedOn w:val="Normal"/>
    <w:next w:val="Normal"/>
    <w:link w:val="Heading1Char"/>
    <w:uiPriority w:val="9"/>
    <w:qFormat/>
    <w:rsid w:val="002039E9"/>
    <w:pPr>
      <w:keepNext/>
      <w:keepLines/>
      <w:spacing w:before="240" w:after="0" w:line="360" w:lineRule="auto"/>
      <w:outlineLvl w:val="0"/>
    </w:pPr>
    <w:rPr>
      <w:rFonts w:eastAsiaTheme="majorEastAsia" w:cstheme="majorBidi"/>
      <w:b/>
      <w:sz w:val="28"/>
      <w:szCs w:val="29"/>
    </w:rPr>
  </w:style>
  <w:style w:type="paragraph" w:styleId="Heading2">
    <w:name w:val="heading 2"/>
    <w:basedOn w:val="Normal"/>
    <w:next w:val="Normal"/>
    <w:link w:val="Heading2Char"/>
    <w:uiPriority w:val="9"/>
    <w:unhideWhenUsed/>
    <w:qFormat/>
    <w:rsid w:val="004B5321"/>
    <w:pPr>
      <w:keepNext/>
      <w:keepLines/>
      <w:spacing w:before="40" w:after="0"/>
      <w:outlineLvl w:val="1"/>
    </w:pPr>
    <w:rPr>
      <w:rFonts w:asciiTheme="majorBidi" w:eastAsiaTheme="majorEastAsia" w:hAnsiTheme="majorBidi" w:cs="Mangal"/>
      <w:b/>
      <w:color w:val="000000" w:themeColor="text1"/>
      <w:szCs w:val="23"/>
    </w:rPr>
  </w:style>
  <w:style w:type="paragraph" w:styleId="Heading3">
    <w:name w:val="heading 3"/>
    <w:basedOn w:val="Normal"/>
    <w:next w:val="Normal"/>
    <w:link w:val="Heading3Char"/>
    <w:uiPriority w:val="9"/>
    <w:semiHidden/>
    <w:unhideWhenUsed/>
    <w:qFormat/>
    <w:rsid w:val="00D43E68"/>
    <w:pPr>
      <w:keepNext/>
      <w:keepLines/>
      <w:spacing w:before="40" w:after="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47429E"/>
    <w:pPr>
      <w:keepNext/>
      <w:keepLines/>
      <w:spacing w:before="40" w:after="0"/>
      <w:outlineLvl w:val="3"/>
    </w:pPr>
    <w:rPr>
      <w:rFonts w:asciiTheme="majorHAnsi" w:eastAsiaTheme="majorEastAsia" w:hAnsiTheme="majorHAnsi" w:cs="Mangal"/>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E9"/>
    <w:rPr>
      <w:rFonts w:ascii="Times New Roman" w:eastAsiaTheme="majorEastAsia" w:hAnsi="Times New Roman" w:cstheme="majorBidi"/>
      <w:b/>
      <w:sz w:val="28"/>
      <w:szCs w:val="29"/>
      <w:lang w:val="en-ID" w:bidi="hi-IN"/>
    </w:rPr>
  </w:style>
  <w:style w:type="paragraph" w:styleId="NoSpacing">
    <w:name w:val="No Spacing"/>
    <w:link w:val="NoSpacingChar"/>
    <w:uiPriority w:val="1"/>
    <w:qFormat/>
    <w:rsid w:val="002039E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039E9"/>
    <w:rPr>
      <w:rFonts w:eastAsiaTheme="minorEastAsia"/>
      <w:lang w:val="en-US"/>
    </w:rPr>
  </w:style>
  <w:style w:type="paragraph" w:styleId="BodyText">
    <w:name w:val="Body Text"/>
    <w:basedOn w:val="Normal"/>
    <w:link w:val="BodyTextChar"/>
    <w:uiPriority w:val="1"/>
    <w:qFormat/>
    <w:rsid w:val="002039E9"/>
    <w:pPr>
      <w:widowControl w:val="0"/>
      <w:autoSpaceDE w:val="0"/>
      <w:autoSpaceDN w:val="0"/>
      <w:spacing w:after="0" w:line="240" w:lineRule="auto"/>
    </w:pPr>
    <w:rPr>
      <w:rFonts w:eastAsia="Times New Roman" w:cs="Times New Roman"/>
      <w:szCs w:val="24"/>
      <w:lang w:val="en-US" w:bidi="ar-SA"/>
    </w:rPr>
  </w:style>
  <w:style w:type="character" w:customStyle="1" w:styleId="BodyTextChar">
    <w:name w:val="Body Text Char"/>
    <w:basedOn w:val="DefaultParagraphFont"/>
    <w:link w:val="BodyText"/>
    <w:uiPriority w:val="1"/>
    <w:rsid w:val="002039E9"/>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2039E9"/>
    <w:pPr>
      <w:widowControl w:val="0"/>
      <w:autoSpaceDE w:val="0"/>
      <w:autoSpaceDN w:val="0"/>
      <w:spacing w:before="85" w:after="0" w:line="240" w:lineRule="auto"/>
      <w:ind w:left="629" w:right="860"/>
    </w:pPr>
    <w:rPr>
      <w:rFonts w:eastAsia="Times New Roman" w:cs="Times New Roman"/>
      <w:b/>
      <w:bCs/>
      <w:sz w:val="36"/>
      <w:szCs w:val="36"/>
      <w:lang w:val="en-US" w:bidi="ar-SA"/>
    </w:rPr>
  </w:style>
  <w:style w:type="character" w:customStyle="1" w:styleId="TitleChar">
    <w:name w:val="Title Char"/>
    <w:basedOn w:val="DefaultParagraphFont"/>
    <w:link w:val="Title"/>
    <w:uiPriority w:val="10"/>
    <w:rsid w:val="002039E9"/>
    <w:rPr>
      <w:rFonts w:ascii="Times New Roman" w:eastAsia="Times New Roman" w:hAnsi="Times New Roman" w:cs="Times New Roman"/>
      <w:b/>
      <w:bCs/>
      <w:sz w:val="36"/>
      <w:szCs w:val="36"/>
      <w:lang w:val="en-US"/>
    </w:rPr>
  </w:style>
  <w:style w:type="character" w:customStyle="1" w:styleId="Heading2Char">
    <w:name w:val="Heading 2 Char"/>
    <w:basedOn w:val="DefaultParagraphFont"/>
    <w:link w:val="Heading2"/>
    <w:uiPriority w:val="9"/>
    <w:rsid w:val="004B5321"/>
    <w:rPr>
      <w:rFonts w:asciiTheme="majorBidi" w:eastAsiaTheme="majorEastAsia" w:hAnsiTheme="majorBidi" w:cs="Mangal"/>
      <w:b/>
      <w:color w:val="000000" w:themeColor="text1"/>
      <w:sz w:val="24"/>
      <w:szCs w:val="23"/>
      <w:lang w:val="en-ID" w:bidi="hi-IN"/>
    </w:rPr>
  </w:style>
  <w:style w:type="paragraph" w:styleId="Bibliography">
    <w:name w:val="Bibliography"/>
    <w:basedOn w:val="Normal"/>
    <w:next w:val="Normal"/>
    <w:uiPriority w:val="37"/>
    <w:semiHidden/>
    <w:unhideWhenUsed/>
    <w:rsid w:val="002039E9"/>
    <w:rPr>
      <w:rFonts w:cs="Mangal"/>
    </w:rPr>
  </w:style>
  <w:style w:type="paragraph" w:styleId="Header">
    <w:name w:val="header"/>
    <w:basedOn w:val="Normal"/>
    <w:link w:val="HeaderChar"/>
    <w:uiPriority w:val="99"/>
    <w:unhideWhenUsed/>
    <w:rsid w:val="002A5256"/>
    <w:pPr>
      <w:tabs>
        <w:tab w:val="center" w:pos="4536"/>
        <w:tab w:val="right" w:pos="9072"/>
      </w:tabs>
      <w:spacing w:after="0" w:line="240" w:lineRule="auto"/>
    </w:pPr>
    <w:rPr>
      <w:rFonts w:cs="Mangal"/>
    </w:rPr>
  </w:style>
  <w:style w:type="character" w:customStyle="1" w:styleId="HeaderChar">
    <w:name w:val="Header Char"/>
    <w:basedOn w:val="DefaultParagraphFont"/>
    <w:link w:val="Header"/>
    <w:uiPriority w:val="99"/>
    <w:rsid w:val="002A5256"/>
    <w:rPr>
      <w:rFonts w:ascii="Times New Roman" w:hAnsi="Times New Roman" w:cs="Mangal"/>
      <w:sz w:val="24"/>
      <w:szCs w:val="20"/>
      <w:lang w:val="en-ID" w:bidi="hi-IN"/>
    </w:rPr>
  </w:style>
  <w:style w:type="paragraph" w:styleId="Footer">
    <w:name w:val="footer"/>
    <w:basedOn w:val="Normal"/>
    <w:link w:val="FooterChar"/>
    <w:uiPriority w:val="99"/>
    <w:unhideWhenUsed/>
    <w:rsid w:val="002A5256"/>
    <w:pPr>
      <w:tabs>
        <w:tab w:val="center" w:pos="4536"/>
        <w:tab w:val="right" w:pos="9072"/>
      </w:tabs>
      <w:spacing w:after="0" w:line="240" w:lineRule="auto"/>
    </w:pPr>
    <w:rPr>
      <w:rFonts w:cs="Mangal"/>
    </w:rPr>
  </w:style>
  <w:style w:type="character" w:customStyle="1" w:styleId="FooterChar">
    <w:name w:val="Footer Char"/>
    <w:basedOn w:val="DefaultParagraphFont"/>
    <w:link w:val="Footer"/>
    <w:uiPriority w:val="99"/>
    <w:rsid w:val="002A5256"/>
    <w:rPr>
      <w:rFonts w:ascii="Times New Roman" w:hAnsi="Times New Roman" w:cs="Mangal"/>
      <w:sz w:val="24"/>
      <w:szCs w:val="20"/>
      <w:lang w:val="en-ID" w:bidi="hi-IN"/>
    </w:rPr>
  </w:style>
  <w:style w:type="paragraph" w:styleId="BalloonText">
    <w:name w:val="Balloon Text"/>
    <w:basedOn w:val="Normal"/>
    <w:link w:val="BalloonTextChar"/>
    <w:uiPriority w:val="99"/>
    <w:semiHidden/>
    <w:unhideWhenUsed/>
    <w:rsid w:val="00667E03"/>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667E03"/>
    <w:rPr>
      <w:rFonts w:ascii="Segoe UI" w:hAnsi="Segoe UI" w:cs="Mangal"/>
      <w:sz w:val="18"/>
      <w:szCs w:val="16"/>
      <w:lang w:val="en-ID" w:bidi="hi-IN"/>
    </w:rPr>
  </w:style>
  <w:style w:type="paragraph" w:styleId="ListParagraph">
    <w:name w:val="List Paragraph"/>
    <w:basedOn w:val="Normal"/>
    <w:uiPriority w:val="34"/>
    <w:qFormat/>
    <w:rsid w:val="00667E03"/>
    <w:pPr>
      <w:ind w:left="720"/>
      <w:contextualSpacing/>
    </w:pPr>
    <w:rPr>
      <w:rFonts w:cs="Mangal"/>
    </w:rPr>
  </w:style>
  <w:style w:type="character" w:styleId="Hyperlink">
    <w:name w:val="Hyperlink"/>
    <w:basedOn w:val="DefaultParagraphFont"/>
    <w:uiPriority w:val="99"/>
    <w:unhideWhenUsed/>
    <w:rsid w:val="00667E03"/>
    <w:rPr>
      <w:color w:val="0563C1" w:themeColor="hyperlink"/>
      <w:u w:val="single"/>
    </w:rPr>
  </w:style>
  <w:style w:type="character" w:styleId="UnresolvedMention">
    <w:name w:val="Unresolved Mention"/>
    <w:basedOn w:val="DefaultParagraphFont"/>
    <w:uiPriority w:val="99"/>
    <w:semiHidden/>
    <w:unhideWhenUsed/>
    <w:rsid w:val="00667E03"/>
    <w:rPr>
      <w:color w:val="605E5C"/>
      <w:shd w:val="clear" w:color="auto" w:fill="E1DFDD"/>
    </w:rPr>
  </w:style>
  <w:style w:type="table" w:styleId="TableGrid">
    <w:name w:val="Table Grid"/>
    <w:basedOn w:val="TableNormal"/>
    <w:uiPriority w:val="39"/>
    <w:rsid w:val="00D43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43E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D43E68"/>
    <w:rPr>
      <w:rFonts w:asciiTheme="majorHAnsi" w:eastAsiaTheme="majorEastAsia" w:hAnsiTheme="majorHAnsi" w:cs="Mangal"/>
      <w:color w:val="1F3763" w:themeColor="accent1" w:themeShade="7F"/>
      <w:sz w:val="24"/>
      <w:szCs w:val="21"/>
      <w:lang w:val="en-ID" w:bidi="hi-IN"/>
    </w:rPr>
  </w:style>
  <w:style w:type="character" w:customStyle="1" w:styleId="Heading4Char">
    <w:name w:val="Heading 4 Char"/>
    <w:basedOn w:val="DefaultParagraphFont"/>
    <w:link w:val="Heading4"/>
    <w:uiPriority w:val="9"/>
    <w:semiHidden/>
    <w:rsid w:val="0047429E"/>
    <w:rPr>
      <w:rFonts w:asciiTheme="majorHAnsi" w:eastAsiaTheme="majorEastAsia" w:hAnsiTheme="majorHAnsi" w:cs="Mangal"/>
      <w:i/>
      <w:iCs/>
      <w:color w:val="2F5496" w:themeColor="accent1" w:themeShade="BF"/>
      <w:sz w:val="24"/>
      <w:szCs w:val="20"/>
      <w:lang w:val="en-ID" w:bidi="hi-IN"/>
    </w:rPr>
  </w:style>
  <w:style w:type="paragraph" w:styleId="TOCHeading">
    <w:name w:val="TOC Heading"/>
    <w:basedOn w:val="Heading1"/>
    <w:next w:val="Normal"/>
    <w:uiPriority w:val="39"/>
    <w:unhideWhenUsed/>
    <w:qFormat/>
    <w:rsid w:val="00264E65"/>
    <w:pPr>
      <w:spacing w:before="480" w:line="276" w:lineRule="auto"/>
      <w:outlineLvl w:val="9"/>
    </w:pPr>
    <w:rPr>
      <w:rFonts w:asciiTheme="majorHAnsi" w:hAnsiTheme="majorHAnsi"/>
      <w:bCs/>
      <w:color w:val="2F5496" w:themeColor="accent1" w:themeShade="BF"/>
      <w:szCs w:val="28"/>
      <w:lang w:val="en-US" w:bidi="ar-SA"/>
    </w:rPr>
  </w:style>
  <w:style w:type="paragraph" w:styleId="TOC1">
    <w:name w:val="toc 1"/>
    <w:basedOn w:val="Normal"/>
    <w:next w:val="Normal"/>
    <w:autoRedefine/>
    <w:uiPriority w:val="39"/>
    <w:unhideWhenUsed/>
    <w:rsid w:val="004C39EB"/>
    <w:pPr>
      <w:spacing w:before="120" w:after="0"/>
    </w:pPr>
    <w:rPr>
      <w:rFonts w:asciiTheme="minorHAnsi" w:hAnsiTheme="minorHAnsi" w:cs="Mangal"/>
      <w:b/>
      <w:bCs/>
      <w:i/>
      <w:iCs/>
    </w:rPr>
  </w:style>
  <w:style w:type="paragraph" w:styleId="TOC2">
    <w:name w:val="toc 2"/>
    <w:basedOn w:val="Normal"/>
    <w:next w:val="Normal"/>
    <w:autoRedefine/>
    <w:uiPriority w:val="39"/>
    <w:unhideWhenUsed/>
    <w:rsid w:val="004C39EB"/>
    <w:pPr>
      <w:spacing w:before="120" w:after="0"/>
      <w:ind w:left="240"/>
    </w:pPr>
    <w:rPr>
      <w:rFonts w:asciiTheme="minorHAnsi" w:hAnsiTheme="minorHAnsi" w:cs="Mangal"/>
      <w:b/>
      <w:bCs/>
      <w:sz w:val="22"/>
      <w:szCs w:val="18"/>
    </w:rPr>
  </w:style>
  <w:style w:type="paragraph" w:styleId="TOC3">
    <w:name w:val="toc 3"/>
    <w:basedOn w:val="Normal"/>
    <w:next w:val="Normal"/>
    <w:autoRedefine/>
    <w:uiPriority w:val="39"/>
    <w:unhideWhenUsed/>
    <w:rsid w:val="00264E65"/>
    <w:pPr>
      <w:spacing w:after="0"/>
      <w:ind w:left="480"/>
    </w:pPr>
    <w:rPr>
      <w:rFonts w:asciiTheme="minorHAnsi" w:hAnsiTheme="minorHAnsi" w:cs="Mangal"/>
      <w:sz w:val="20"/>
      <w:szCs w:val="16"/>
    </w:rPr>
  </w:style>
  <w:style w:type="paragraph" w:styleId="TOC4">
    <w:name w:val="toc 4"/>
    <w:basedOn w:val="Normal"/>
    <w:next w:val="Normal"/>
    <w:autoRedefine/>
    <w:uiPriority w:val="39"/>
    <w:semiHidden/>
    <w:unhideWhenUsed/>
    <w:rsid w:val="00264E65"/>
    <w:pPr>
      <w:spacing w:after="0"/>
      <w:ind w:left="720"/>
    </w:pPr>
    <w:rPr>
      <w:rFonts w:asciiTheme="minorHAnsi" w:hAnsiTheme="minorHAnsi" w:cs="Mangal"/>
      <w:sz w:val="20"/>
      <w:szCs w:val="16"/>
    </w:rPr>
  </w:style>
  <w:style w:type="paragraph" w:styleId="TOC5">
    <w:name w:val="toc 5"/>
    <w:basedOn w:val="Normal"/>
    <w:next w:val="Normal"/>
    <w:autoRedefine/>
    <w:uiPriority w:val="39"/>
    <w:semiHidden/>
    <w:unhideWhenUsed/>
    <w:rsid w:val="00264E65"/>
    <w:pPr>
      <w:spacing w:after="0"/>
      <w:ind w:left="960"/>
    </w:pPr>
    <w:rPr>
      <w:rFonts w:asciiTheme="minorHAnsi" w:hAnsiTheme="minorHAnsi" w:cs="Mangal"/>
      <w:sz w:val="20"/>
      <w:szCs w:val="16"/>
    </w:rPr>
  </w:style>
  <w:style w:type="paragraph" w:styleId="TOC6">
    <w:name w:val="toc 6"/>
    <w:basedOn w:val="Normal"/>
    <w:next w:val="Normal"/>
    <w:autoRedefine/>
    <w:uiPriority w:val="39"/>
    <w:semiHidden/>
    <w:unhideWhenUsed/>
    <w:rsid w:val="00264E65"/>
    <w:pPr>
      <w:spacing w:after="0"/>
      <w:ind w:left="1200"/>
    </w:pPr>
    <w:rPr>
      <w:rFonts w:asciiTheme="minorHAnsi" w:hAnsiTheme="minorHAnsi" w:cs="Mangal"/>
      <w:sz w:val="20"/>
      <w:szCs w:val="16"/>
    </w:rPr>
  </w:style>
  <w:style w:type="paragraph" w:styleId="TOC7">
    <w:name w:val="toc 7"/>
    <w:basedOn w:val="Normal"/>
    <w:next w:val="Normal"/>
    <w:autoRedefine/>
    <w:uiPriority w:val="39"/>
    <w:semiHidden/>
    <w:unhideWhenUsed/>
    <w:rsid w:val="00264E65"/>
    <w:pPr>
      <w:spacing w:after="0"/>
      <w:ind w:left="1440"/>
    </w:pPr>
    <w:rPr>
      <w:rFonts w:asciiTheme="minorHAnsi" w:hAnsiTheme="minorHAnsi" w:cs="Mangal"/>
      <w:sz w:val="20"/>
      <w:szCs w:val="16"/>
    </w:rPr>
  </w:style>
  <w:style w:type="paragraph" w:styleId="TOC8">
    <w:name w:val="toc 8"/>
    <w:basedOn w:val="Normal"/>
    <w:next w:val="Normal"/>
    <w:autoRedefine/>
    <w:uiPriority w:val="39"/>
    <w:semiHidden/>
    <w:unhideWhenUsed/>
    <w:rsid w:val="00264E65"/>
    <w:pPr>
      <w:spacing w:after="0"/>
      <w:ind w:left="1680"/>
    </w:pPr>
    <w:rPr>
      <w:rFonts w:asciiTheme="minorHAnsi" w:hAnsiTheme="minorHAnsi" w:cs="Mangal"/>
      <w:sz w:val="20"/>
      <w:szCs w:val="16"/>
    </w:rPr>
  </w:style>
  <w:style w:type="paragraph" w:styleId="TOC9">
    <w:name w:val="toc 9"/>
    <w:basedOn w:val="Normal"/>
    <w:next w:val="Normal"/>
    <w:autoRedefine/>
    <w:uiPriority w:val="39"/>
    <w:semiHidden/>
    <w:unhideWhenUsed/>
    <w:rsid w:val="00264E65"/>
    <w:pPr>
      <w:spacing w:after="0"/>
      <w:ind w:left="1920"/>
    </w:pPr>
    <w:rPr>
      <w:rFonts w:asciiTheme="minorHAnsi" w:hAnsiTheme="minorHAnsi" w:cs="Mangal"/>
      <w:sz w:val="20"/>
      <w:szCs w:val="16"/>
    </w:rPr>
  </w:style>
  <w:style w:type="paragraph" w:customStyle="1" w:styleId="pretoc">
    <w:name w:val="pre_toc"/>
    <w:basedOn w:val="Normal"/>
    <w:qFormat/>
    <w:rsid w:val="001F07AF"/>
    <w:pPr>
      <w:spacing w:line="278" w:lineRule="auto"/>
    </w:pPr>
    <w:rPr>
      <w:b/>
      <w:bCs/>
    </w:rPr>
  </w:style>
  <w:style w:type="character" w:styleId="PlaceholderText">
    <w:name w:val="Placeholder Text"/>
    <w:basedOn w:val="DefaultParagraphFont"/>
    <w:uiPriority w:val="99"/>
    <w:semiHidden/>
    <w:rsid w:val="008D2B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9526">
      <w:bodyDiv w:val="1"/>
      <w:marLeft w:val="0"/>
      <w:marRight w:val="0"/>
      <w:marTop w:val="0"/>
      <w:marBottom w:val="0"/>
      <w:divBdr>
        <w:top w:val="none" w:sz="0" w:space="0" w:color="auto"/>
        <w:left w:val="none" w:sz="0" w:space="0" w:color="auto"/>
        <w:bottom w:val="none" w:sz="0" w:space="0" w:color="auto"/>
        <w:right w:val="none" w:sz="0" w:space="0" w:color="auto"/>
      </w:divBdr>
    </w:div>
    <w:div w:id="36203582">
      <w:bodyDiv w:val="1"/>
      <w:marLeft w:val="0"/>
      <w:marRight w:val="0"/>
      <w:marTop w:val="0"/>
      <w:marBottom w:val="0"/>
      <w:divBdr>
        <w:top w:val="none" w:sz="0" w:space="0" w:color="auto"/>
        <w:left w:val="none" w:sz="0" w:space="0" w:color="auto"/>
        <w:bottom w:val="none" w:sz="0" w:space="0" w:color="auto"/>
        <w:right w:val="none" w:sz="0" w:space="0" w:color="auto"/>
      </w:divBdr>
    </w:div>
    <w:div w:id="39090717">
      <w:bodyDiv w:val="1"/>
      <w:marLeft w:val="0"/>
      <w:marRight w:val="0"/>
      <w:marTop w:val="0"/>
      <w:marBottom w:val="0"/>
      <w:divBdr>
        <w:top w:val="none" w:sz="0" w:space="0" w:color="auto"/>
        <w:left w:val="none" w:sz="0" w:space="0" w:color="auto"/>
        <w:bottom w:val="none" w:sz="0" w:space="0" w:color="auto"/>
        <w:right w:val="none" w:sz="0" w:space="0" w:color="auto"/>
      </w:divBdr>
    </w:div>
    <w:div w:id="58132780">
      <w:bodyDiv w:val="1"/>
      <w:marLeft w:val="0"/>
      <w:marRight w:val="0"/>
      <w:marTop w:val="0"/>
      <w:marBottom w:val="0"/>
      <w:divBdr>
        <w:top w:val="none" w:sz="0" w:space="0" w:color="auto"/>
        <w:left w:val="none" w:sz="0" w:space="0" w:color="auto"/>
        <w:bottom w:val="none" w:sz="0" w:space="0" w:color="auto"/>
        <w:right w:val="none" w:sz="0" w:space="0" w:color="auto"/>
      </w:divBdr>
    </w:div>
    <w:div w:id="80492015">
      <w:bodyDiv w:val="1"/>
      <w:marLeft w:val="0"/>
      <w:marRight w:val="0"/>
      <w:marTop w:val="0"/>
      <w:marBottom w:val="0"/>
      <w:divBdr>
        <w:top w:val="none" w:sz="0" w:space="0" w:color="auto"/>
        <w:left w:val="none" w:sz="0" w:space="0" w:color="auto"/>
        <w:bottom w:val="none" w:sz="0" w:space="0" w:color="auto"/>
        <w:right w:val="none" w:sz="0" w:space="0" w:color="auto"/>
      </w:divBdr>
    </w:div>
    <w:div w:id="107942126">
      <w:bodyDiv w:val="1"/>
      <w:marLeft w:val="0"/>
      <w:marRight w:val="0"/>
      <w:marTop w:val="0"/>
      <w:marBottom w:val="0"/>
      <w:divBdr>
        <w:top w:val="none" w:sz="0" w:space="0" w:color="auto"/>
        <w:left w:val="none" w:sz="0" w:space="0" w:color="auto"/>
        <w:bottom w:val="none" w:sz="0" w:space="0" w:color="auto"/>
        <w:right w:val="none" w:sz="0" w:space="0" w:color="auto"/>
      </w:divBdr>
    </w:div>
    <w:div w:id="127935912">
      <w:bodyDiv w:val="1"/>
      <w:marLeft w:val="0"/>
      <w:marRight w:val="0"/>
      <w:marTop w:val="0"/>
      <w:marBottom w:val="0"/>
      <w:divBdr>
        <w:top w:val="none" w:sz="0" w:space="0" w:color="auto"/>
        <w:left w:val="none" w:sz="0" w:space="0" w:color="auto"/>
        <w:bottom w:val="none" w:sz="0" w:space="0" w:color="auto"/>
        <w:right w:val="none" w:sz="0" w:space="0" w:color="auto"/>
      </w:divBdr>
    </w:div>
    <w:div w:id="130638379">
      <w:bodyDiv w:val="1"/>
      <w:marLeft w:val="0"/>
      <w:marRight w:val="0"/>
      <w:marTop w:val="0"/>
      <w:marBottom w:val="0"/>
      <w:divBdr>
        <w:top w:val="none" w:sz="0" w:space="0" w:color="auto"/>
        <w:left w:val="none" w:sz="0" w:space="0" w:color="auto"/>
        <w:bottom w:val="none" w:sz="0" w:space="0" w:color="auto"/>
        <w:right w:val="none" w:sz="0" w:space="0" w:color="auto"/>
      </w:divBdr>
    </w:div>
    <w:div w:id="169568501">
      <w:bodyDiv w:val="1"/>
      <w:marLeft w:val="0"/>
      <w:marRight w:val="0"/>
      <w:marTop w:val="0"/>
      <w:marBottom w:val="0"/>
      <w:divBdr>
        <w:top w:val="none" w:sz="0" w:space="0" w:color="auto"/>
        <w:left w:val="none" w:sz="0" w:space="0" w:color="auto"/>
        <w:bottom w:val="none" w:sz="0" w:space="0" w:color="auto"/>
        <w:right w:val="none" w:sz="0" w:space="0" w:color="auto"/>
      </w:divBdr>
    </w:div>
    <w:div w:id="176433609">
      <w:bodyDiv w:val="1"/>
      <w:marLeft w:val="0"/>
      <w:marRight w:val="0"/>
      <w:marTop w:val="0"/>
      <w:marBottom w:val="0"/>
      <w:divBdr>
        <w:top w:val="none" w:sz="0" w:space="0" w:color="auto"/>
        <w:left w:val="none" w:sz="0" w:space="0" w:color="auto"/>
        <w:bottom w:val="none" w:sz="0" w:space="0" w:color="auto"/>
        <w:right w:val="none" w:sz="0" w:space="0" w:color="auto"/>
      </w:divBdr>
    </w:div>
    <w:div w:id="206143441">
      <w:bodyDiv w:val="1"/>
      <w:marLeft w:val="0"/>
      <w:marRight w:val="0"/>
      <w:marTop w:val="0"/>
      <w:marBottom w:val="0"/>
      <w:divBdr>
        <w:top w:val="none" w:sz="0" w:space="0" w:color="auto"/>
        <w:left w:val="none" w:sz="0" w:space="0" w:color="auto"/>
        <w:bottom w:val="none" w:sz="0" w:space="0" w:color="auto"/>
        <w:right w:val="none" w:sz="0" w:space="0" w:color="auto"/>
      </w:divBdr>
    </w:div>
    <w:div w:id="219093377">
      <w:bodyDiv w:val="1"/>
      <w:marLeft w:val="0"/>
      <w:marRight w:val="0"/>
      <w:marTop w:val="0"/>
      <w:marBottom w:val="0"/>
      <w:divBdr>
        <w:top w:val="none" w:sz="0" w:space="0" w:color="auto"/>
        <w:left w:val="none" w:sz="0" w:space="0" w:color="auto"/>
        <w:bottom w:val="none" w:sz="0" w:space="0" w:color="auto"/>
        <w:right w:val="none" w:sz="0" w:space="0" w:color="auto"/>
      </w:divBdr>
    </w:div>
    <w:div w:id="247887034">
      <w:bodyDiv w:val="1"/>
      <w:marLeft w:val="0"/>
      <w:marRight w:val="0"/>
      <w:marTop w:val="0"/>
      <w:marBottom w:val="0"/>
      <w:divBdr>
        <w:top w:val="none" w:sz="0" w:space="0" w:color="auto"/>
        <w:left w:val="none" w:sz="0" w:space="0" w:color="auto"/>
        <w:bottom w:val="none" w:sz="0" w:space="0" w:color="auto"/>
        <w:right w:val="none" w:sz="0" w:space="0" w:color="auto"/>
      </w:divBdr>
    </w:div>
    <w:div w:id="278101968">
      <w:bodyDiv w:val="1"/>
      <w:marLeft w:val="0"/>
      <w:marRight w:val="0"/>
      <w:marTop w:val="0"/>
      <w:marBottom w:val="0"/>
      <w:divBdr>
        <w:top w:val="none" w:sz="0" w:space="0" w:color="auto"/>
        <w:left w:val="none" w:sz="0" w:space="0" w:color="auto"/>
        <w:bottom w:val="none" w:sz="0" w:space="0" w:color="auto"/>
        <w:right w:val="none" w:sz="0" w:space="0" w:color="auto"/>
      </w:divBdr>
    </w:div>
    <w:div w:id="308827690">
      <w:bodyDiv w:val="1"/>
      <w:marLeft w:val="0"/>
      <w:marRight w:val="0"/>
      <w:marTop w:val="0"/>
      <w:marBottom w:val="0"/>
      <w:divBdr>
        <w:top w:val="none" w:sz="0" w:space="0" w:color="auto"/>
        <w:left w:val="none" w:sz="0" w:space="0" w:color="auto"/>
        <w:bottom w:val="none" w:sz="0" w:space="0" w:color="auto"/>
        <w:right w:val="none" w:sz="0" w:space="0" w:color="auto"/>
      </w:divBdr>
    </w:div>
    <w:div w:id="316882012">
      <w:bodyDiv w:val="1"/>
      <w:marLeft w:val="0"/>
      <w:marRight w:val="0"/>
      <w:marTop w:val="0"/>
      <w:marBottom w:val="0"/>
      <w:divBdr>
        <w:top w:val="none" w:sz="0" w:space="0" w:color="auto"/>
        <w:left w:val="none" w:sz="0" w:space="0" w:color="auto"/>
        <w:bottom w:val="none" w:sz="0" w:space="0" w:color="auto"/>
        <w:right w:val="none" w:sz="0" w:space="0" w:color="auto"/>
      </w:divBdr>
    </w:div>
    <w:div w:id="375199653">
      <w:bodyDiv w:val="1"/>
      <w:marLeft w:val="0"/>
      <w:marRight w:val="0"/>
      <w:marTop w:val="0"/>
      <w:marBottom w:val="0"/>
      <w:divBdr>
        <w:top w:val="none" w:sz="0" w:space="0" w:color="auto"/>
        <w:left w:val="none" w:sz="0" w:space="0" w:color="auto"/>
        <w:bottom w:val="none" w:sz="0" w:space="0" w:color="auto"/>
        <w:right w:val="none" w:sz="0" w:space="0" w:color="auto"/>
      </w:divBdr>
    </w:div>
    <w:div w:id="388188948">
      <w:bodyDiv w:val="1"/>
      <w:marLeft w:val="0"/>
      <w:marRight w:val="0"/>
      <w:marTop w:val="0"/>
      <w:marBottom w:val="0"/>
      <w:divBdr>
        <w:top w:val="none" w:sz="0" w:space="0" w:color="auto"/>
        <w:left w:val="none" w:sz="0" w:space="0" w:color="auto"/>
        <w:bottom w:val="none" w:sz="0" w:space="0" w:color="auto"/>
        <w:right w:val="none" w:sz="0" w:space="0" w:color="auto"/>
      </w:divBdr>
    </w:div>
    <w:div w:id="390078696">
      <w:bodyDiv w:val="1"/>
      <w:marLeft w:val="0"/>
      <w:marRight w:val="0"/>
      <w:marTop w:val="0"/>
      <w:marBottom w:val="0"/>
      <w:divBdr>
        <w:top w:val="none" w:sz="0" w:space="0" w:color="auto"/>
        <w:left w:val="none" w:sz="0" w:space="0" w:color="auto"/>
        <w:bottom w:val="none" w:sz="0" w:space="0" w:color="auto"/>
        <w:right w:val="none" w:sz="0" w:space="0" w:color="auto"/>
      </w:divBdr>
    </w:div>
    <w:div w:id="414133616">
      <w:bodyDiv w:val="1"/>
      <w:marLeft w:val="0"/>
      <w:marRight w:val="0"/>
      <w:marTop w:val="0"/>
      <w:marBottom w:val="0"/>
      <w:divBdr>
        <w:top w:val="none" w:sz="0" w:space="0" w:color="auto"/>
        <w:left w:val="none" w:sz="0" w:space="0" w:color="auto"/>
        <w:bottom w:val="none" w:sz="0" w:space="0" w:color="auto"/>
        <w:right w:val="none" w:sz="0" w:space="0" w:color="auto"/>
      </w:divBdr>
    </w:div>
    <w:div w:id="418717289">
      <w:bodyDiv w:val="1"/>
      <w:marLeft w:val="0"/>
      <w:marRight w:val="0"/>
      <w:marTop w:val="0"/>
      <w:marBottom w:val="0"/>
      <w:divBdr>
        <w:top w:val="none" w:sz="0" w:space="0" w:color="auto"/>
        <w:left w:val="none" w:sz="0" w:space="0" w:color="auto"/>
        <w:bottom w:val="none" w:sz="0" w:space="0" w:color="auto"/>
        <w:right w:val="none" w:sz="0" w:space="0" w:color="auto"/>
      </w:divBdr>
    </w:div>
    <w:div w:id="430130467">
      <w:bodyDiv w:val="1"/>
      <w:marLeft w:val="0"/>
      <w:marRight w:val="0"/>
      <w:marTop w:val="0"/>
      <w:marBottom w:val="0"/>
      <w:divBdr>
        <w:top w:val="none" w:sz="0" w:space="0" w:color="auto"/>
        <w:left w:val="none" w:sz="0" w:space="0" w:color="auto"/>
        <w:bottom w:val="none" w:sz="0" w:space="0" w:color="auto"/>
        <w:right w:val="none" w:sz="0" w:space="0" w:color="auto"/>
      </w:divBdr>
    </w:div>
    <w:div w:id="447705248">
      <w:bodyDiv w:val="1"/>
      <w:marLeft w:val="0"/>
      <w:marRight w:val="0"/>
      <w:marTop w:val="0"/>
      <w:marBottom w:val="0"/>
      <w:divBdr>
        <w:top w:val="none" w:sz="0" w:space="0" w:color="auto"/>
        <w:left w:val="none" w:sz="0" w:space="0" w:color="auto"/>
        <w:bottom w:val="none" w:sz="0" w:space="0" w:color="auto"/>
        <w:right w:val="none" w:sz="0" w:space="0" w:color="auto"/>
      </w:divBdr>
    </w:div>
    <w:div w:id="452016164">
      <w:bodyDiv w:val="1"/>
      <w:marLeft w:val="0"/>
      <w:marRight w:val="0"/>
      <w:marTop w:val="0"/>
      <w:marBottom w:val="0"/>
      <w:divBdr>
        <w:top w:val="none" w:sz="0" w:space="0" w:color="auto"/>
        <w:left w:val="none" w:sz="0" w:space="0" w:color="auto"/>
        <w:bottom w:val="none" w:sz="0" w:space="0" w:color="auto"/>
        <w:right w:val="none" w:sz="0" w:space="0" w:color="auto"/>
      </w:divBdr>
    </w:div>
    <w:div w:id="459033090">
      <w:bodyDiv w:val="1"/>
      <w:marLeft w:val="0"/>
      <w:marRight w:val="0"/>
      <w:marTop w:val="0"/>
      <w:marBottom w:val="0"/>
      <w:divBdr>
        <w:top w:val="none" w:sz="0" w:space="0" w:color="auto"/>
        <w:left w:val="none" w:sz="0" w:space="0" w:color="auto"/>
        <w:bottom w:val="none" w:sz="0" w:space="0" w:color="auto"/>
        <w:right w:val="none" w:sz="0" w:space="0" w:color="auto"/>
      </w:divBdr>
      <w:divsChild>
        <w:div w:id="434790305">
          <w:marLeft w:val="0"/>
          <w:marRight w:val="0"/>
          <w:marTop w:val="0"/>
          <w:marBottom w:val="0"/>
          <w:divBdr>
            <w:top w:val="none" w:sz="0" w:space="0" w:color="auto"/>
            <w:left w:val="none" w:sz="0" w:space="0" w:color="auto"/>
            <w:bottom w:val="none" w:sz="0" w:space="0" w:color="auto"/>
            <w:right w:val="none" w:sz="0" w:space="0" w:color="auto"/>
          </w:divBdr>
          <w:divsChild>
            <w:div w:id="1960139289">
              <w:marLeft w:val="0"/>
              <w:marRight w:val="0"/>
              <w:marTop w:val="0"/>
              <w:marBottom w:val="0"/>
              <w:divBdr>
                <w:top w:val="none" w:sz="0" w:space="0" w:color="auto"/>
                <w:left w:val="none" w:sz="0" w:space="0" w:color="auto"/>
                <w:bottom w:val="none" w:sz="0" w:space="0" w:color="auto"/>
                <w:right w:val="none" w:sz="0" w:space="0" w:color="auto"/>
              </w:divBdr>
            </w:div>
          </w:divsChild>
        </w:div>
        <w:div w:id="685404398">
          <w:marLeft w:val="0"/>
          <w:marRight w:val="0"/>
          <w:marTop w:val="0"/>
          <w:marBottom w:val="0"/>
          <w:divBdr>
            <w:top w:val="none" w:sz="0" w:space="0" w:color="auto"/>
            <w:left w:val="none" w:sz="0" w:space="0" w:color="auto"/>
            <w:bottom w:val="none" w:sz="0" w:space="0" w:color="auto"/>
            <w:right w:val="none" w:sz="0" w:space="0" w:color="auto"/>
          </w:divBdr>
          <w:divsChild>
            <w:div w:id="6708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8696">
      <w:bodyDiv w:val="1"/>
      <w:marLeft w:val="0"/>
      <w:marRight w:val="0"/>
      <w:marTop w:val="0"/>
      <w:marBottom w:val="0"/>
      <w:divBdr>
        <w:top w:val="none" w:sz="0" w:space="0" w:color="auto"/>
        <w:left w:val="none" w:sz="0" w:space="0" w:color="auto"/>
        <w:bottom w:val="none" w:sz="0" w:space="0" w:color="auto"/>
        <w:right w:val="none" w:sz="0" w:space="0" w:color="auto"/>
      </w:divBdr>
    </w:div>
    <w:div w:id="466240030">
      <w:bodyDiv w:val="1"/>
      <w:marLeft w:val="0"/>
      <w:marRight w:val="0"/>
      <w:marTop w:val="0"/>
      <w:marBottom w:val="0"/>
      <w:divBdr>
        <w:top w:val="none" w:sz="0" w:space="0" w:color="auto"/>
        <w:left w:val="none" w:sz="0" w:space="0" w:color="auto"/>
        <w:bottom w:val="none" w:sz="0" w:space="0" w:color="auto"/>
        <w:right w:val="none" w:sz="0" w:space="0" w:color="auto"/>
      </w:divBdr>
    </w:div>
    <w:div w:id="484132152">
      <w:bodyDiv w:val="1"/>
      <w:marLeft w:val="0"/>
      <w:marRight w:val="0"/>
      <w:marTop w:val="0"/>
      <w:marBottom w:val="0"/>
      <w:divBdr>
        <w:top w:val="none" w:sz="0" w:space="0" w:color="auto"/>
        <w:left w:val="none" w:sz="0" w:space="0" w:color="auto"/>
        <w:bottom w:val="none" w:sz="0" w:space="0" w:color="auto"/>
        <w:right w:val="none" w:sz="0" w:space="0" w:color="auto"/>
      </w:divBdr>
    </w:div>
    <w:div w:id="528108237">
      <w:bodyDiv w:val="1"/>
      <w:marLeft w:val="0"/>
      <w:marRight w:val="0"/>
      <w:marTop w:val="0"/>
      <w:marBottom w:val="0"/>
      <w:divBdr>
        <w:top w:val="none" w:sz="0" w:space="0" w:color="auto"/>
        <w:left w:val="none" w:sz="0" w:space="0" w:color="auto"/>
        <w:bottom w:val="none" w:sz="0" w:space="0" w:color="auto"/>
        <w:right w:val="none" w:sz="0" w:space="0" w:color="auto"/>
      </w:divBdr>
    </w:div>
    <w:div w:id="530533175">
      <w:bodyDiv w:val="1"/>
      <w:marLeft w:val="0"/>
      <w:marRight w:val="0"/>
      <w:marTop w:val="0"/>
      <w:marBottom w:val="0"/>
      <w:divBdr>
        <w:top w:val="none" w:sz="0" w:space="0" w:color="auto"/>
        <w:left w:val="none" w:sz="0" w:space="0" w:color="auto"/>
        <w:bottom w:val="none" w:sz="0" w:space="0" w:color="auto"/>
        <w:right w:val="none" w:sz="0" w:space="0" w:color="auto"/>
      </w:divBdr>
    </w:div>
    <w:div w:id="536161626">
      <w:bodyDiv w:val="1"/>
      <w:marLeft w:val="0"/>
      <w:marRight w:val="0"/>
      <w:marTop w:val="0"/>
      <w:marBottom w:val="0"/>
      <w:divBdr>
        <w:top w:val="none" w:sz="0" w:space="0" w:color="auto"/>
        <w:left w:val="none" w:sz="0" w:space="0" w:color="auto"/>
        <w:bottom w:val="none" w:sz="0" w:space="0" w:color="auto"/>
        <w:right w:val="none" w:sz="0" w:space="0" w:color="auto"/>
      </w:divBdr>
    </w:div>
    <w:div w:id="547374857">
      <w:bodyDiv w:val="1"/>
      <w:marLeft w:val="0"/>
      <w:marRight w:val="0"/>
      <w:marTop w:val="0"/>
      <w:marBottom w:val="0"/>
      <w:divBdr>
        <w:top w:val="none" w:sz="0" w:space="0" w:color="auto"/>
        <w:left w:val="none" w:sz="0" w:space="0" w:color="auto"/>
        <w:bottom w:val="none" w:sz="0" w:space="0" w:color="auto"/>
        <w:right w:val="none" w:sz="0" w:space="0" w:color="auto"/>
      </w:divBdr>
    </w:div>
    <w:div w:id="629363494">
      <w:bodyDiv w:val="1"/>
      <w:marLeft w:val="0"/>
      <w:marRight w:val="0"/>
      <w:marTop w:val="0"/>
      <w:marBottom w:val="0"/>
      <w:divBdr>
        <w:top w:val="none" w:sz="0" w:space="0" w:color="auto"/>
        <w:left w:val="none" w:sz="0" w:space="0" w:color="auto"/>
        <w:bottom w:val="none" w:sz="0" w:space="0" w:color="auto"/>
        <w:right w:val="none" w:sz="0" w:space="0" w:color="auto"/>
      </w:divBdr>
    </w:div>
    <w:div w:id="632835944">
      <w:bodyDiv w:val="1"/>
      <w:marLeft w:val="0"/>
      <w:marRight w:val="0"/>
      <w:marTop w:val="0"/>
      <w:marBottom w:val="0"/>
      <w:divBdr>
        <w:top w:val="none" w:sz="0" w:space="0" w:color="auto"/>
        <w:left w:val="none" w:sz="0" w:space="0" w:color="auto"/>
        <w:bottom w:val="none" w:sz="0" w:space="0" w:color="auto"/>
        <w:right w:val="none" w:sz="0" w:space="0" w:color="auto"/>
      </w:divBdr>
    </w:div>
    <w:div w:id="642925844">
      <w:bodyDiv w:val="1"/>
      <w:marLeft w:val="0"/>
      <w:marRight w:val="0"/>
      <w:marTop w:val="0"/>
      <w:marBottom w:val="0"/>
      <w:divBdr>
        <w:top w:val="none" w:sz="0" w:space="0" w:color="auto"/>
        <w:left w:val="none" w:sz="0" w:space="0" w:color="auto"/>
        <w:bottom w:val="none" w:sz="0" w:space="0" w:color="auto"/>
        <w:right w:val="none" w:sz="0" w:space="0" w:color="auto"/>
      </w:divBdr>
    </w:div>
    <w:div w:id="652217375">
      <w:bodyDiv w:val="1"/>
      <w:marLeft w:val="0"/>
      <w:marRight w:val="0"/>
      <w:marTop w:val="0"/>
      <w:marBottom w:val="0"/>
      <w:divBdr>
        <w:top w:val="none" w:sz="0" w:space="0" w:color="auto"/>
        <w:left w:val="none" w:sz="0" w:space="0" w:color="auto"/>
        <w:bottom w:val="none" w:sz="0" w:space="0" w:color="auto"/>
        <w:right w:val="none" w:sz="0" w:space="0" w:color="auto"/>
      </w:divBdr>
    </w:div>
    <w:div w:id="677930421">
      <w:bodyDiv w:val="1"/>
      <w:marLeft w:val="0"/>
      <w:marRight w:val="0"/>
      <w:marTop w:val="0"/>
      <w:marBottom w:val="0"/>
      <w:divBdr>
        <w:top w:val="none" w:sz="0" w:space="0" w:color="auto"/>
        <w:left w:val="none" w:sz="0" w:space="0" w:color="auto"/>
        <w:bottom w:val="none" w:sz="0" w:space="0" w:color="auto"/>
        <w:right w:val="none" w:sz="0" w:space="0" w:color="auto"/>
      </w:divBdr>
    </w:div>
    <w:div w:id="692731001">
      <w:bodyDiv w:val="1"/>
      <w:marLeft w:val="0"/>
      <w:marRight w:val="0"/>
      <w:marTop w:val="0"/>
      <w:marBottom w:val="0"/>
      <w:divBdr>
        <w:top w:val="none" w:sz="0" w:space="0" w:color="auto"/>
        <w:left w:val="none" w:sz="0" w:space="0" w:color="auto"/>
        <w:bottom w:val="none" w:sz="0" w:space="0" w:color="auto"/>
        <w:right w:val="none" w:sz="0" w:space="0" w:color="auto"/>
      </w:divBdr>
    </w:div>
    <w:div w:id="718165884">
      <w:bodyDiv w:val="1"/>
      <w:marLeft w:val="0"/>
      <w:marRight w:val="0"/>
      <w:marTop w:val="0"/>
      <w:marBottom w:val="0"/>
      <w:divBdr>
        <w:top w:val="none" w:sz="0" w:space="0" w:color="auto"/>
        <w:left w:val="none" w:sz="0" w:space="0" w:color="auto"/>
        <w:bottom w:val="none" w:sz="0" w:space="0" w:color="auto"/>
        <w:right w:val="none" w:sz="0" w:space="0" w:color="auto"/>
      </w:divBdr>
    </w:div>
    <w:div w:id="720251721">
      <w:bodyDiv w:val="1"/>
      <w:marLeft w:val="0"/>
      <w:marRight w:val="0"/>
      <w:marTop w:val="0"/>
      <w:marBottom w:val="0"/>
      <w:divBdr>
        <w:top w:val="none" w:sz="0" w:space="0" w:color="auto"/>
        <w:left w:val="none" w:sz="0" w:space="0" w:color="auto"/>
        <w:bottom w:val="none" w:sz="0" w:space="0" w:color="auto"/>
        <w:right w:val="none" w:sz="0" w:space="0" w:color="auto"/>
      </w:divBdr>
    </w:div>
    <w:div w:id="726606862">
      <w:bodyDiv w:val="1"/>
      <w:marLeft w:val="0"/>
      <w:marRight w:val="0"/>
      <w:marTop w:val="0"/>
      <w:marBottom w:val="0"/>
      <w:divBdr>
        <w:top w:val="none" w:sz="0" w:space="0" w:color="auto"/>
        <w:left w:val="none" w:sz="0" w:space="0" w:color="auto"/>
        <w:bottom w:val="none" w:sz="0" w:space="0" w:color="auto"/>
        <w:right w:val="none" w:sz="0" w:space="0" w:color="auto"/>
      </w:divBdr>
    </w:div>
    <w:div w:id="775440497">
      <w:bodyDiv w:val="1"/>
      <w:marLeft w:val="0"/>
      <w:marRight w:val="0"/>
      <w:marTop w:val="0"/>
      <w:marBottom w:val="0"/>
      <w:divBdr>
        <w:top w:val="none" w:sz="0" w:space="0" w:color="auto"/>
        <w:left w:val="none" w:sz="0" w:space="0" w:color="auto"/>
        <w:bottom w:val="none" w:sz="0" w:space="0" w:color="auto"/>
        <w:right w:val="none" w:sz="0" w:space="0" w:color="auto"/>
      </w:divBdr>
    </w:div>
    <w:div w:id="785079341">
      <w:bodyDiv w:val="1"/>
      <w:marLeft w:val="0"/>
      <w:marRight w:val="0"/>
      <w:marTop w:val="0"/>
      <w:marBottom w:val="0"/>
      <w:divBdr>
        <w:top w:val="none" w:sz="0" w:space="0" w:color="auto"/>
        <w:left w:val="none" w:sz="0" w:space="0" w:color="auto"/>
        <w:bottom w:val="none" w:sz="0" w:space="0" w:color="auto"/>
        <w:right w:val="none" w:sz="0" w:space="0" w:color="auto"/>
      </w:divBdr>
    </w:div>
    <w:div w:id="796752798">
      <w:bodyDiv w:val="1"/>
      <w:marLeft w:val="0"/>
      <w:marRight w:val="0"/>
      <w:marTop w:val="0"/>
      <w:marBottom w:val="0"/>
      <w:divBdr>
        <w:top w:val="none" w:sz="0" w:space="0" w:color="auto"/>
        <w:left w:val="none" w:sz="0" w:space="0" w:color="auto"/>
        <w:bottom w:val="none" w:sz="0" w:space="0" w:color="auto"/>
        <w:right w:val="none" w:sz="0" w:space="0" w:color="auto"/>
      </w:divBdr>
    </w:div>
    <w:div w:id="891579726">
      <w:bodyDiv w:val="1"/>
      <w:marLeft w:val="0"/>
      <w:marRight w:val="0"/>
      <w:marTop w:val="0"/>
      <w:marBottom w:val="0"/>
      <w:divBdr>
        <w:top w:val="none" w:sz="0" w:space="0" w:color="auto"/>
        <w:left w:val="none" w:sz="0" w:space="0" w:color="auto"/>
        <w:bottom w:val="none" w:sz="0" w:space="0" w:color="auto"/>
        <w:right w:val="none" w:sz="0" w:space="0" w:color="auto"/>
      </w:divBdr>
    </w:div>
    <w:div w:id="894464246">
      <w:bodyDiv w:val="1"/>
      <w:marLeft w:val="0"/>
      <w:marRight w:val="0"/>
      <w:marTop w:val="0"/>
      <w:marBottom w:val="0"/>
      <w:divBdr>
        <w:top w:val="none" w:sz="0" w:space="0" w:color="auto"/>
        <w:left w:val="none" w:sz="0" w:space="0" w:color="auto"/>
        <w:bottom w:val="none" w:sz="0" w:space="0" w:color="auto"/>
        <w:right w:val="none" w:sz="0" w:space="0" w:color="auto"/>
      </w:divBdr>
    </w:div>
    <w:div w:id="898785334">
      <w:bodyDiv w:val="1"/>
      <w:marLeft w:val="0"/>
      <w:marRight w:val="0"/>
      <w:marTop w:val="0"/>
      <w:marBottom w:val="0"/>
      <w:divBdr>
        <w:top w:val="none" w:sz="0" w:space="0" w:color="auto"/>
        <w:left w:val="none" w:sz="0" w:space="0" w:color="auto"/>
        <w:bottom w:val="none" w:sz="0" w:space="0" w:color="auto"/>
        <w:right w:val="none" w:sz="0" w:space="0" w:color="auto"/>
      </w:divBdr>
    </w:div>
    <w:div w:id="963079617">
      <w:bodyDiv w:val="1"/>
      <w:marLeft w:val="0"/>
      <w:marRight w:val="0"/>
      <w:marTop w:val="0"/>
      <w:marBottom w:val="0"/>
      <w:divBdr>
        <w:top w:val="none" w:sz="0" w:space="0" w:color="auto"/>
        <w:left w:val="none" w:sz="0" w:space="0" w:color="auto"/>
        <w:bottom w:val="none" w:sz="0" w:space="0" w:color="auto"/>
        <w:right w:val="none" w:sz="0" w:space="0" w:color="auto"/>
      </w:divBdr>
      <w:divsChild>
        <w:div w:id="732775135">
          <w:marLeft w:val="0"/>
          <w:marRight w:val="0"/>
          <w:marTop w:val="0"/>
          <w:marBottom w:val="0"/>
          <w:divBdr>
            <w:top w:val="none" w:sz="0" w:space="0" w:color="auto"/>
            <w:left w:val="none" w:sz="0" w:space="0" w:color="auto"/>
            <w:bottom w:val="none" w:sz="0" w:space="0" w:color="auto"/>
            <w:right w:val="none" w:sz="0" w:space="0" w:color="auto"/>
          </w:divBdr>
          <w:divsChild>
            <w:div w:id="1650479508">
              <w:marLeft w:val="0"/>
              <w:marRight w:val="0"/>
              <w:marTop w:val="0"/>
              <w:marBottom w:val="0"/>
              <w:divBdr>
                <w:top w:val="none" w:sz="0" w:space="0" w:color="auto"/>
                <w:left w:val="none" w:sz="0" w:space="0" w:color="auto"/>
                <w:bottom w:val="none" w:sz="0" w:space="0" w:color="auto"/>
                <w:right w:val="none" w:sz="0" w:space="0" w:color="auto"/>
              </w:divBdr>
            </w:div>
          </w:divsChild>
        </w:div>
        <w:div w:id="1284270205">
          <w:marLeft w:val="0"/>
          <w:marRight w:val="0"/>
          <w:marTop w:val="0"/>
          <w:marBottom w:val="0"/>
          <w:divBdr>
            <w:top w:val="none" w:sz="0" w:space="0" w:color="auto"/>
            <w:left w:val="none" w:sz="0" w:space="0" w:color="auto"/>
            <w:bottom w:val="none" w:sz="0" w:space="0" w:color="auto"/>
            <w:right w:val="none" w:sz="0" w:space="0" w:color="auto"/>
          </w:divBdr>
          <w:divsChild>
            <w:div w:id="12694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5537">
      <w:bodyDiv w:val="1"/>
      <w:marLeft w:val="0"/>
      <w:marRight w:val="0"/>
      <w:marTop w:val="0"/>
      <w:marBottom w:val="0"/>
      <w:divBdr>
        <w:top w:val="none" w:sz="0" w:space="0" w:color="auto"/>
        <w:left w:val="none" w:sz="0" w:space="0" w:color="auto"/>
        <w:bottom w:val="none" w:sz="0" w:space="0" w:color="auto"/>
        <w:right w:val="none" w:sz="0" w:space="0" w:color="auto"/>
      </w:divBdr>
    </w:div>
    <w:div w:id="1017921513">
      <w:bodyDiv w:val="1"/>
      <w:marLeft w:val="0"/>
      <w:marRight w:val="0"/>
      <w:marTop w:val="0"/>
      <w:marBottom w:val="0"/>
      <w:divBdr>
        <w:top w:val="none" w:sz="0" w:space="0" w:color="auto"/>
        <w:left w:val="none" w:sz="0" w:space="0" w:color="auto"/>
        <w:bottom w:val="none" w:sz="0" w:space="0" w:color="auto"/>
        <w:right w:val="none" w:sz="0" w:space="0" w:color="auto"/>
      </w:divBdr>
    </w:div>
    <w:div w:id="1017927005">
      <w:bodyDiv w:val="1"/>
      <w:marLeft w:val="0"/>
      <w:marRight w:val="0"/>
      <w:marTop w:val="0"/>
      <w:marBottom w:val="0"/>
      <w:divBdr>
        <w:top w:val="none" w:sz="0" w:space="0" w:color="auto"/>
        <w:left w:val="none" w:sz="0" w:space="0" w:color="auto"/>
        <w:bottom w:val="none" w:sz="0" w:space="0" w:color="auto"/>
        <w:right w:val="none" w:sz="0" w:space="0" w:color="auto"/>
      </w:divBdr>
    </w:div>
    <w:div w:id="1089814373">
      <w:bodyDiv w:val="1"/>
      <w:marLeft w:val="0"/>
      <w:marRight w:val="0"/>
      <w:marTop w:val="0"/>
      <w:marBottom w:val="0"/>
      <w:divBdr>
        <w:top w:val="none" w:sz="0" w:space="0" w:color="auto"/>
        <w:left w:val="none" w:sz="0" w:space="0" w:color="auto"/>
        <w:bottom w:val="none" w:sz="0" w:space="0" w:color="auto"/>
        <w:right w:val="none" w:sz="0" w:space="0" w:color="auto"/>
      </w:divBdr>
    </w:div>
    <w:div w:id="1097016697">
      <w:bodyDiv w:val="1"/>
      <w:marLeft w:val="0"/>
      <w:marRight w:val="0"/>
      <w:marTop w:val="0"/>
      <w:marBottom w:val="0"/>
      <w:divBdr>
        <w:top w:val="none" w:sz="0" w:space="0" w:color="auto"/>
        <w:left w:val="none" w:sz="0" w:space="0" w:color="auto"/>
        <w:bottom w:val="none" w:sz="0" w:space="0" w:color="auto"/>
        <w:right w:val="none" w:sz="0" w:space="0" w:color="auto"/>
      </w:divBdr>
    </w:div>
    <w:div w:id="1106924993">
      <w:bodyDiv w:val="1"/>
      <w:marLeft w:val="0"/>
      <w:marRight w:val="0"/>
      <w:marTop w:val="0"/>
      <w:marBottom w:val="0"/>
      <w:divBdr>
        <w:top w:val="none" w:sz="0" w:space="0" w:color="auto"/>
        <w:left w:val="none" w:sz="0" w:space="0" w:color="auto"/>
        <w:bottom w:val="none" w:sz="0" w:space="0" w:color="auto"/>
        <w:right w:val="none" w:sz="0" w:space="0" w:color="auto"/>
      </w:divBdr>
    </w:div>
    <w:div w:id="1142505377">
      <w:bodyDiv w:val="1"/>
      <w:marLeft w:val="0"/>
      <w:marRight w:val="0"/>
      <w:marTop w:val="0"/>
      <w:marBottom w:val="0"/>
      <w:divBdr>
        <w:top w:val="none" w:sz="0" w:space="0" w:color="auto"/>
        <w:left w:val="none" w:sz="0" w:space="0" w:color="auto"/>
        <w:bottom w:val="none" w:sz="0" w:space="0" w:color="auto"/>
        <w:right w:val="none" w:sz="0" w:space="0" w:color="auto"/>
      </w:divBdr>
    </w:div>
    <w:div w:id="1143079700">
      <w:bodyDiv w:val="1"/>
      <w:marLeft w:val="0"/>
      <w:marRight w:val="0"/>
      <w:marTop w:val="0"/>
      <w:marBottom w:val="0"/>
      <w:divBdr>
        <w:top w:val="none" w:sz="0" w:space="0" w:color="auto"/>
        <w:left w:val="none" w:sz="0" w:space="0" w:color="auto"/>
        <w:bottom w:val="none" w:sz="0" w:space="0" w:color="auto"/>
        <w:right w:val="none" w:sz="0" w:space="0" w:color="auto"/>
      </w:divBdr>
    </w:div>
    <w:div w:id="1173489114">
      <w:bodyDiv w:val="1"/>
      <w:marLeft w:val="0"/>
      <w:marRight w:val="0"/>
      <w:marTop w:val="0"/>
      <w:marBottom w:val="0"/>
      <w:divBdr>
        <w:top w:val="none" w:sz="0" w:space="0" w:color="auto"/>
        <w:left w:val="none" w:sz="0" w:space="0" w:color="auto"/>
        <w:bottom w:val="none" w:sz="0" w:space="0" w:color="auto"/>
        <w:right w:val="none" w:sz="0" w:space="0" w:color="auto"/>
      </w:divBdr>
    </w:div>
    <w:div w:id="1182427287">
      <w:bodyDiv w:val="1"/>
      <w:marLeft w:val="0"/>
      <w:marRight w:val="0"/>
      <w:marTop w:val="0"/>
      <w:marBottom w:val="0"/>
      <w:divBdr>
        <w:top w:val="none" w:sz="0" w:space="0" w:color="auto"/>
        <w:left w:val="none" w:sz="0" w:space="0" w:color="auto"/>
        <w:bottom w:val="none" w:sz="0" w:space="0" w:color="auto"/>
        <w:right w:val="none" w:sz="0" w:space="0" w:color="auto"/>
      </w:divBdr>
    </w:div>
    <w:div w:id="1261528845">
      <w:bodyDiv w:val="1"/>
      <w:marLeft w:val="0"/>
      <w:marRight w:val="0"/>
      <w:marTop w:val="0"/>
      <w:marBottom w:val="0"/>
      <w:divBdr>
        <w:top w:val="none" w:sz="0" w:space="0" w:color="auto"/>
        <w:left w:val="none" w:sz="0" w:space="0" w:color="auto"/>
        <w:bottom w:val="none" w:sz="0" w:space="0" w:color="auto"/>
        <w:right w:val="none" w:sz="0" w:space="0" w:color="auto"/>
      </w:divBdr>
    </w:div>
    <w:div w:id="1273972672">
      <w:bodyDiv w:val="1"/>
      <w:marLeft w:val="0"/>
      <w:marRight w:val="0"/>
      <w:marTop w:val="0"/>
      <w:marBottom w:val="0"/>
      <w:divBdr>
        <w:top w:val="none" w:sz="0" w:space="0" w:color="auto"/>
        <w:left w:val="none" w:sz="0" w:space="0" w:color="auto"/>
        <w:bottom w:val="none" w:sz="0" w:space="0" w:color="auto"/>
        <w:right w:val="none" w:sz="0" w:space="0" w:color="auto"/>
      </w:divBdr>
    </w:div>
    <w:div w:id="1303577974">
      <w:bodyDiv w:val="1"/>
      <w:marLeft w:val="0"/>
      <w:marRight w:val="0"/>
      <w:marTop w:val="0"/>
      <w:marBottom w:val="0"/>
      <w:divBdr>
        <w:top w:val="none" w:sz="0" w:space="0" w:color="auto"/>
        <w:left w:val="none" w:sz="0" w:space="0" w:color="auto"/>
        <w:bottom w:val="none" w:sz="0" w:space="0" w:color="auto"/>
        <w:right w:val="none" w:sz="0" w:space="0" w:color="auto"/>
      </w:divBdr>
    </w:div>
    <w:div w:id="1342506396">
      <w:bodyDiv w:val="1"/>
      <w:marLeft w:val="0"/>
      <w:marRight w:val="0"/>
      <w:marTop w:val="0"/>
      <w:marBottom w:val="0"/>
      <w:divBdr>
        <w:top w:val="none" w:sz="0" w:space="0" w:color="auto"/>
        <w:left w:val="none" w:sz="0" w:space="0" w:color="auto"/>
        <w:bottom w:val="none" w:sz="0" w:space="0" w:color="auto"/>
        <w:right w:val="none" w:sz="0" w:space="0" w:color="auto"/>
      </w:divBdr>
      <w:divsChild>
        <w:div w:id="22468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87635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81859">
      <w:bodyDiv w:val="1"/>
      <w:marLeft w:val="0"/>
      <w:marRight w:val="0"/>
      <w:marTop w:val="0"/>
      <w:marBottom w:val="0"/>
      <w:divBdr>
        <w:top w:val="none" w:sz="0" w:space="0" w:color="auto"/>
        <w:left w:val="none" w:sz="0" w:space="0" w:color="auto"/>
        <w:bottom w:val="none" w:sz="0" w:space="0" w:color="auto"/>
        <w:right w:val="none" w:sz="0" w:space="0" w:color="auto"/>
      </w:divBdr>
    </w:div>
    <w:div w:id="1398429884">
      <w:bodyDiv w:val="1"/>
      <w:marLeft w:val="0"/>
      <w:marRight w:val="0"/>
      <w:marTop w:val="0"/>
      <w:marBottom w:val="0"/>
      <w:divBdr>
        <w:top w:val="none" w:sz="0" w:space="0" w:color="auto"/>
        <w:left w:val="none" w:sz="0" w:space="0" w:color="auto"/>
        <w:bottom w:val="none" w:sz="0" w:space="0" w:color="auto"/>
        <w:right w:val="none" w:sz="0" w:space="0" w:color="auto"/>
      </w:divBdr>
    </w:div>
    <w:div w:id="1461609797">
      <w:bodyDiv w:val="1"/>
      <w:marLeft w:val="0"/>
      <w:marRight w:val="0"/>
      <w:marTop w:val="0"/>
      <w:marBottom w:val="0"/>
      <w:divBdr>
        <w:top w:val="none" w:sz="0" w:space="0" w:color="auto"/>
        <w:left w:val="none" w:sz="0" w:space="0" w:color="auto"/>
        <w:bottom w:val="none" w:sz="0" w:space="0" w:color="auto"/>
        <w:right w:val="none" w:sz="0" w:space="0" w:color="auto"/>
      </w:divBdr>
    </w:div>
    <w:div w:id="1498302913">
      <w:bodyDiv w:val="1"/>
      <w:marLeft w:val="0"/>
      <w:marRight w:val="0"/>
      <w:marTop w:val="0"/>
      <w:marBottom w:val="0"/>
      <w:divBdr>
        <w:top w:val="none" w:sz="0" w:space="0" w:color="auto"/>
        <w:left w:val="none" w:sz="0" w:space="0" w:color="auto"/>
        <w:bottom w:val="none" w:sz="0" w:space="0" w:color="auto"/>
        <w:right w:val="none" w:sz="0" w:space="0" w:color="auto"/>
      </w:divBdr>
    </w:div>
    <w:div w:id="1518689123">
      <w:bodyDiv w:val="1"/>
      <w:marLeft w:val="0"/>
      <w:marRight w:val="0"/>
      <w:marTop w:val="0"/>
      <w:marBottom w:val="0"/>
      <w:divBdr>
        <w:top w:val="none" w:sz="0" w:space="0" w:color="auto"/>
        <w:left w:val="none" w:sz="0" w:space="0" w:color="auto"/>
        <w:bottom w:val="none" w:sz="0" w:space="0" w:color="auto"/>
        <w:right w:val="none" w:sz="0" w:space="0" w:color="auto"/>
      </w:divBdr>
    </w:div>
    <w:div w:id="1529638353">
      <w:bodyDiv w:val="1"/>
      <w:marLeft w:val="0"/>
      <w:marRight w:val="0"/>
      <w:marTop w:val="0"/>
      <w:marBottom w:val="0"/>
      <w:divBdr>
        <w:top w:val="none" w:sz="0" w:space="0" w:color="auto"/>
        <w:left w:val="none" w:sz="0" w:space="0" w:color="auto"/>
        <w:bottom w:val="none" w:sz="0" w:space="0" w:color="auto"/>
        <w:right w:val="none" w:sz="0" w:space="0" w:color="auto"/>
      </w:divBdr>
      <w:divsChild>
        <w:div w:id="1773159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12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508774">
      <w:bodyDiv w:val="1"/>
      <w:marLeft w:val="0"/>
      <w:marRight w:val="0"/>
      <w:marTop w:val="0"/>
      <w:marBottom w:val="0"/>
      <w:divBdr>
        <w:top w:val="none" w:sz="0" w:space="0" w:color="auto"/>
        <w:left w:val="none" w:sz="0" w:space="0" w:color="auto"/>
        <w:bottom w:val="none" w:sz="0" w:space="0" w:color="auto"/>
        <w:right w:val="none" w:sz="0" w:space="0" w:color="auto"/>
      </w:divBdr>
    </w:div>
    <w:div w:id="1606306036">
      <w:bodyDiv w:val="1"/>
      <w:marLeft w:val="0"/>
      <w:marRight w:val="0"/>
      <w:marTop w:val="0"/>
      <w:marBottom w:val="0"/>
      <w:divBdr>
        <w:top w:val="none" w:sz="0" w:space="0" w:color="auto"/>
        <w:left w:val="none" w:sz="0" w:space="0" w:color="auto"/>
        <w:bottom w:val="none" w:sz="0" w:space="0" w:color="auto"/>
        <w:right w:val="none" w:sz="0" w:space="0" w:color="auto"/>
      </w:divBdr>
    </w:div>
    <w:div w:id="1611081426">
      <w:bodyDiv w:val="1"/>
      <w:marLeft w:val="0"/>
      <w:marRight w:val="0"/>
      <w:marTop w:val="0"/>
      <w:marBottom w:val="0"/>
      <w:divBdr>
        <w:top w:val="none" w:sz="0" w:space="0" w:color="auto"/>
        <w:left w:val="none" w:sz="0" w:space="0" w:color="auto"/>
        <w:bottom w:val="none" w:sz="0" w:space="0" w:color="auto"/>
        <w:right w:val="none" w:sz="0" w:space="0" w:color="auto"/>
      </w:divBdr>
    </w:div>
    <w:div w:id="1639798816">
      <w:bodyDiv w:val="1"/>
      <w:marLeft w:val="0"/>
      <w:marRight w:val="0"/>
      <w:marTop w:val="0"/>
      <w:marBottom w:val="0"/>
      <w:divBdr>
        <w:top w:val="none" w:sz="0" w:space="0" w:color="auto"/>
        <w:left w:val="none" w:sz="0" w:space="0" w:color="auto"/>
        <w:bottom w:val="none" w:sz="0" w:space="0" w:color="auto"/>
        <w:right w:val="none" w:sz="0" w:space="0" w:color="auto"/>
      </w:divBdr>
    </w:div>
    <w:div w:id="1645500021">
      <w:bodyDiv w:val="1"/>
      <w:marLeft w:val="0"/>
      <w:marRight w:val="0"/>
      <w:marTop w:val="0"/>
      <w:marBottom w:val="0"/>
      <w:divBdr>
        <w:top w:val="none" w:sz="0" w:space="0" w:color="auto"/>
        <w:left w:val="none" w:sz="0" w:space="0" w:color="auto"/>
        <w:bottom w:val="none" w:sz="0" w:space="0" w:color="auto"/>
        <w:right w:val="none" w:sz="0" w:space="0" w:color="auto"/>
      </w:divBdr>
    </w:div>
    <w:div w:id="1654024693">
      <w:bodyDiv w:val="1"/>
      <w:marLeft w:val="0"/>
      <w:marRight w:val="0"/>
      <w:marTop w:val="0"/>
      <w:marBottom w:val="0"/>
      <w:divBdr>
        <w:top w:val="none" w:sz="0" w:space="0" w:color="auto"/>
        <w:left w:val="none" w:sz="0" w:space="0" w:color="auto"/>
        <w:bottom w:val="none" w:sz="0" w:space="0" w:color="auto"/>
        <w:right w:val="none" w:sz="0" w:space="0" w:color="auto"/>
      </w:divBdr>
    </w:div>
    <w:div w:id="1659842630">
      <w:bodyDiv w:val="1"/>
      <w:marLeft w:val="0"/>
      <w:marRight w:val="0"/>
      <w:marTop w:val="0"/>
      <w:marBottom w:val="0"/>
      <w:divBdr>
        <w:top w:val="none" w:sz="0" w:space="0" w:color="auto"/>
        <w:left w:val="none" w:sz="0" w:space="0" w:color="auto"/>
        <w:bottom w:val="none" w:sz="0" w:space="0" w:color="auto"/>
        <w:right w:val="none" w:sz="0" w:space="0" w:color="auto"/>
      </w:divBdr>
    </w:div>
    <w:div w:id="1666010078">
      <w:bodyDiv w:val="1"/>
      <w:marLeft w:val="0"/>
      <w:marRight w:val="0"/>
      <w:marTop w:val="0"/>
      <w:marBottom w:val="0"/>
      <w:divBdr>
        <w:top w:val="none" w:sz="0" w:space="0" w:color="auto"/>
        <w:left w:val="none" w:sz="0" w:space="0" w:color="auto"/>
        <w:bottom w:val="none" w:sz="0" w:space="0" w:color="auto"/>
        <w:right w:val="none" w:sz="0" w:space="0" w:color="auto"/>
      </w:divBdr>
    </w:div>
    <w:div w:id="1722287956">
      <w:bodyDiv w:val="1"/>
      <w:marLeft w:val="0"/>
      <w:marRight w:val="0"/>
      <w:marTop w:val="0"/>
      <w:marBottom w:val="0"/>
      <w:divBdr>
        <w:top w:val="none" w:sz="0" w:space="0" w:color="auto"/>
        <w:left w:val="none" w:sz="0" w:space="0" w:color="auto"/>
        <w:bottom w:val="none" w:sz="0" w:space="0" w:color="auto"/>
        <w:right w:val="none" w:sz="0" w:space="0" w:color="auto"/>
      </w:divBdr>
    </w:div>
    <w:div w:id="1733430377">
      <w:bodyDiv w:val="1"/>
      <w:marLeft w:val="0"/>
      <w:marRight w:val="0"/>
      <w:marTop w:val="0"/>
      <w:marBottom w:val="0"/>
      <w:divBdr>
        <w:top w:val="none" w:sz="0" w:space="0" w:color="auto"/>
        <w:left w:val="none" w:sz="0" w:space="0" w:color="auto"/>
        <w:bottom w:val="none" w:sz="0" w:space="0" w:color="auto"/>
        <w:right w:val="none" w:sz="0" w:space="0" w:color="auto"/>
      </w:divBdr>
    </w:div>
    <w:div w:id="1782187338">
      <w:bodyDiv w:val="1"/>
      <w:marLeft w:val="0"/>
      <w:marRight w:val="0"/>
      <w:marTop w:val="0"/>
      <w:marBottom w:val="0"/>
      <w:divBdr>
        <w:top w:val="none" w:sz="0" w:space="0" w:color="auto"/>
        <w:left w:val="none" w:sz="0" w:space="0" w:color="auto"/>
        <w:bottom w:val="none" w:sz="0" w:space="0" w:color="auto"/>
        <w:right w:val="none" w:sz="0" w:space="0" w:color="auto"/>
      </w:divBdr>
    </w:div>
    <w:div w:id="1803427787">
      <w:bodyDiv w:val="1"/>
      <w:marLeft w:val="0"/>
      <w:marRight w:val="0"/>
      <w:marTop w:val="0"/>
      <w:marBottom w:val="0"/>
      <w:divBdr>
        <w:top w:val="none" w:sz="0" w:space="0" w:color="auto"/>
        <w:left w:val="none" w:sz="0" w:space="0" w:color="auto"/>
        <w:bottom w:val="none" w:sz="0" w:space="0" w:color="auto"/>
        <w:right w:val="none" w:sz="0" w:space="0" w:color="auto"/>
      </w:divBdr>
    </w:div>
    <w:div w:id="1808888876">
      <w:bodyDiv w:val="1"/>
      <w:marLeft w:val="0"/>
      <w:marRight w:val="0"/>
      <w:marTop w:val="0"/>
      <w:marBottom w:val="0"/>
      <w:divBdr>
        <w:top w:val="none" w:sz="0" w:space="0" w:color="auto"/>
        <w:left w:val="none" w:sz="0" w:space="0" w:color="auto"/>
        <w:bottom w:val="none" w:sz="0" w:space="0" w:color="auto"/>
        <w:right w:val="none" w:sz="0" w:space="0" w:color="auto"/>
      </w:divBdr>
    </w:div>
    <w:div w:id="1838496480">
      <w:bodyDiv w:val="1"/>
      <w:marLeft w:val="0"/>
      <w:marRight w:val="0"/>
      <w:marTop w:val="0"/>
      <w:marBottom w:val="0"/>
      <w:divBdr>
        <w:top w:val="none" w:sz="0" w:space="0" w:color="auto"/>
        <w:left w:val="none" w:sz="0" w:space="0" w:color="auto"/>
        <w:bottom w:val="none" w:sz="0" w:space="0" w:color="auto"/>
        <w:right w:val="none" w:sz="0" w:space="0" w:color="auto"/>
      </w:divBdr>
    </w:div>
    <w:div w:id="1878814686">
      <w:bodyDiv w:val="1"/>
      <w:marLeft w:val="0"/>
      <w:marRight w:val="0"/>
      <w:marTop w:val="0"/>
      <w:marBottom w:val="0"/>
      <w:divBdr>
        <w:top w:val="none" w:sz="0" w:space="0" w:color="auto"/>
        <w:left w:val="none" w:sz="0" w:space="0" w:color="auto"/>
        <w:bottom w:val="none" w:sz="0" w:space="0" w:color="auto"/>
        <w:right w:val="none" w:sz="0" w:space="0" w:color="auto"/>
      </w:divBdr>
    </w:div>
    <w:div w:id="1886671080">
      <w:bodyDiv w:val="1"/>
      <w:marLeft w:val="0"/>
      <w:marRight w:val="0"/>
      <w:marTop w:val="0"/>
      <w:marBottom w:val="0"/>
      <w:divBdr>
        <w:top w:val="none" w:sz="0" w:space="0" w:color="auto"/>
        <w:left w:val="none" w:sz="0" w:space="0" w:color="auto"/>
        <w:bottom w:val="none" w:sz="0" w:space="0" w:color="auto"/>
        <w:right w:val="none" w:sz="0" w:space="0" w:color="auto"/>
      </w:divBdr>
    </w:div>
    <w:div w:id="1984697177">
      <w:bodyDiv w:val="1"/>
      <w:marLeft w:val="0"/>
      <w:marRight w:val="0"/>
      <w:marTop w:val="0"/>
      <w:marBottom w:val="0"/>
      <w:divBdr>
        <w:top w:val="none" w:sz="0" w:space="0" w:color="auto"/>
        <w:left w:val="none" w:sz="0" w:space="0" w:color="auto"/>
        <w:bottom w:val="none" w:sz="0" w:space="0" w:color="auto"/>
        <w:right w:val="none" w:sz="0" w:space="0" w:color="auto"/>
      </w:divBdr>
    </w:div>
    <w:div w:id="2022463276">
      <w:bodyDiv w:val="1"/>
      <w:marLeft w:val="0"/>
      <w:marRight w:val="0"/>
      <w:marTop w:val="0"/>
      <w:marBottom w:val="0"/>
      <w:divBdr>
        <w:top w:val="none" w:sz="0" w:space="0" w:color="auto"/>
        <w:left w:val="none" w:sz="0" w:space="0" w:color="auto"/>
        <w:bottom w:val="none" w:sz="0" w:space="0" w:color="auto"/>
        <w:right w:val="none" w:sz="0" w:space="0" w:color="auto"/>
      </w:divBdr>
    </w:div>
    <w:div w:id="2060781637">
      <w:bodyDiv w:val="1"/>
      <w:marLeft w:val="0"/>
      <w:marRight w:val="0"/>
      <w:marTop w:val="0"/>
      <w:marBottom w:val="0"/>
      <w:divBdr>
        <w:top w:val="none" w:sz="0" w:space="0" w:color="auto"/>
        <w:left w:val="none" w:sz="0" w:space="0" w:color="auto"/>
        <w:bottom w:val="none" w:sz="0" w:space="0" w:color="auto"/>
        <w:right w:val="none" w:sz="0" w:space="0" w:color="auto"/>
      </w:divBdr>
    </w:div>
    <w:div w:id="2079474449">
      <w:bodyDiv w:val="1"/>
      <w:marLeft w:val="0"/>
      <w:marRight w:val="0"/>
      <w:marTop w:val="0"/>
      <w:marBottom w:val="0"/>
      <w:divBdr>
        <w:top w:val="none" w:sz="0" w:space="0" w:color="auto"/>
        <w:left w:val="none" w:sz="0" w:space="0" w:color="auto"/>
        <w:bottom w:val="none" w:sz="0" w:space="0" w:color="auto"/>
        <w:right w:val="none" w:sz="0" w:space="0" w:color="auto"/>
      </w:divBdr>
    </w:div>
    <w:div w:id="2090999276">
      <w:bodyDiv w:val="1"/>
      <w:marLeft w:val="0"/>
      <w:marRight w:val="0"/>
      <w:marTop w:val="0"/>
      <w:marBottom w:val="0"/>
      <w:divBdr>
        <w:top w:val="none" w:sz="0" w:space="0" w:color="auto"/>
        <w:left w:val="none" w:sz="0" w:space="0" w:color="auto"/>
        <w:bottom w:val="none" w:sz="0" w:space="0" w:color="auto"/>
        <w:right w:val="none" w:sz="0" w:space="0" w:color="auto"/>
      </w:divBdr>
    </w:div>
    <w:div w:id="2095741607">
      <w:bodyDiv w:val="1"/>
      <w:marLeft w:val="0"/>
      <w:marRight w:val="0"/>
      <w:marTop w:val="0"/>
      <w:marBottom w:val="0"/>
      <w:divBdr>
        <w:top w:val="none" w:sz="0" w:space="0" w:color="auto"/>
        <w:left w:val="none" w:sz="0" w:space="0" w:color="auto"/>
        <w:bottom w:val="none" w:sz="0" w:space="0" w:color="auto"/>
        <w:right w:val="none" w:sz="0" w:space="0" w:color="auto"/>
      </w:divBdr>
    </w:div>
    <w:div w:id="2101291669">
      <w:bodyDiv w:val="1"/>
      <w:marLeft w:val="0"/>
      <w:marRight w:val="0"/>
      <w:marTop w:val="0"/>
      <w:marBottom w:val="0"/>
      <w:divBdr>
        <w:top w:val="none" w:sz="0" w:space="0" w:color="auto"/>
        <w:left w:val="none" w:sz="0" w:space="0" w:color="auto"/>
        <w:bottom w:val="none" w:sz="0" w:space="0" w:color="auto"/>
        <w:right w:val="none" w:sz="0" w:space="0" w:color="auto"/>
      </w:divBdr>
    </w:div>
    <w:div w:id="214507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8683f7e-b8f3-4aff-8def-4b8391d3362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E1D72D9C557EE4EABFCE6EDCF72030F" ma:contentTypeVersion="18" ma:contentTypeDescription="Create a new document." ma:contentTypeScope="" ma:versionID="9b6dde87b740f08b6acb826c86119ed3">
  <xsd:schema xmlns:xsd="http://www.w3.org/2001/XMLSchema" xmlns:xs="http://www.w3.org/2001/XMLSchema" xmlns:p="http://schemas.microsoft.com/office/2006/metadata/properties" xmlns:ns3="88683f7e-b8f3-4aff-8def-4b8391d3362f" xmlns:ns4="868fdaf4-9359-41c8-9a28-4db2de2137ff" targetNamespace="http://schemas.microsoft.com/office/2006/metadata/properties" ma:root="true" ma:fieldsID="4128bb7b98f56cf5aa2866725d69f4da" ns3:_="" ns4:_="">
    <xsd:import namespace="88683f7e-b8f3-4aff-8def-4b8391d3362f"/>
    <xsd:import namespace="868fdaf4-9359-41c8-9a28-4db2de2137f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683f7e-b8f3-4aff-8def-4b8391d33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fdaf4-9359-41c8-9a28-4db2de2137f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099433-60BD-4339-84C8-B973A7C04AD1}">
  <ds:schemaRefs>
    <ds:schemaRef ds:uri="http://schemas.microsoft.com/sharepoint/v3/contenttype/forms"/>
  </ds:schemaRefs>
</ds:datastoreItem>
</file>

<file path=customXml/itemProps2.xml><?xml version="1.0" encoding="utf-8"?>
<ds:datastoreItem xmlns:ds="http://schemas.openxmlformats.org/officeDocument/2006/customXml" ds:itemID="{81202064-1581-4A75-A7AC-B20F0F7C3AA6}">
  <ds:schemaRefs>
    <ds:schemaRef ds:uri="http://schemas.microsoft.com/office/2006/metadata/properties"/>
    <ds:schemaRef ds:uri="http://schemas.microsoft.com/office/infopath/2007/PartnerControls"/>
    <ds:schemaRef ds:uri="88683f7e-b8f3-4aff-8def-4b8391d3362f"/>
  </ds:schemaRefs>
</ds:datastoreItem>
</file>

<file path=customXml/itemProps3.xml><?xml version="1.0" encoding="utf-8"?>
<ds:datastoreItem xmlns:ds="http://schemas.openxmlformats.org/officeDocument/2006/customXml" ds:itemID="{FB3073D6-17E2-F94A-B9F0-51229796FA17}">
  <ds:schemaRefs>
    <ds:schemaRef ds:uri="http://schemas.openxmlformats.org/officeDocument/2006/bibliography"/>
  </ds:schemaRefs>
</ds:datastoreItem>
</file>

<file path=customXml/itemProps4.xml><?xml version="1.0" encoding="utf-8"?>
<ds:datastoreItem xmlns:ds="http://schemas.openxmlformats.org/officeDocument/2006/customXml" ds:itemID="{207C8E04-04C0-4910-8A09-B5D97751C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683f7e-b8f3-4aff-8def-4b8391d3362f"/>
    <ds:schemaRef ds:uri="868fdaf4-9359-41c8-9a28-4db2de213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10170</Words>
  <Characters>57973</Characters>
  <Application>Microsoft Office Word</Application>
  <DocSecurity>0</DocSecurity>
  <Lines>483</Lines>
  <Paragraphs>136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EDHEC</Company>
  <LinksUpToDate>false</LinksUpToDate>
  <CharactersWithSpaces>68007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GUINTCHEVA Guergana</dc:creator>
  <cp:keywords/>
  <dc:description/>
  <cp:lastModifiedBy>BERA Varun Sai</cp:lastModifiedBy>
  <cp:revision>2</cp:revision>
  <cp:lastPrinted>2025-06-12T16:57:00Z</cp:lastPrinted>
  <dcterms:created xsi:type="dcterms:W3CDTF">2025-06-27T10:57:00Z</dcterms:created>
  <dcterms:modified xsi:type="dcterms:W3CDTF">2025-06-27T10:57:00Z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0x0101008E1D72D9C557EE4EABFCE6EDCF72030F</vt:lpwstr>
  </property>
</Properties>
</file>