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527958">
      <w:pPr>
        <w:spacing w:after="0"/>
        <w:jc w:val="center"/>
        <w:rPr>
          <w:rFonts w:hint="default" w:ascii="Times New Roman" w:hAnsi="Times New Roman" w:cs="Times New Roman"/>
        </w:rPr>
      </w:pPr>
      <w:r>
        <w:rPr>
          <w:rFonts w:hint="default" w:ascii="Times New Roman" w:hAnsi="Times New Roman" w:eastAsia="Times New Roman" w:cs="Times New Roman"/>
          <w:b/>
          <w:color w:val="548235"/>
          <w:sz w:val="40"/>
        </w:rPr>
        <w:t>LUẬT CÔNG NGHỆ THÔNG TIN</w:t>
      </w:r>
    </w:p>
    <w:p w14:paraId="385C45A4">
      <w:pPr>
        <w:jc w:val="center"/>
        <w:rPr>
          <w:rFonts w:hint="default" w:ascii="Times New Roman" w:hAnsi="Times New Roman" w:cs="Times New Roman"/>
        </w:rPr>
      </w:pPr>
      <w:r>
        <w:rPr>
          <w:rFonts w:hint="default" w:ascii="Times New Roman" w:hAnsi="Times New Roman" w:eastAsia="Times New Roman" w:cs="Times New Roman"/>
          <w:i/>
          <w:color w:val="666666"/>
          <w:sz w:val="24"/>
        </w:rPr>
        <w:t>Văn bản hợp nhất 65-VBHN-VPQH</w:t>
      </w:r>
    </w:p>
    <w:p w14:paraId="644215A1">
      <w:pPr>
        <w:pBdr>
          <w:bottom w:val="single" w:color="BFBFBF" w:sz="8" w:space="1"/>
        </w:pBdr>
        <w:spacing w:before="80" w:after="160"/>
        <w:rPr>
          <w:rFonts w:hint="default" w:ascii="Times New Roman" w:hAnsi="Times New Roman" w:eastAsia="Times New Roman" w:cs="Times New Roman"/>
          <w:b/>
          <w:color w:val="548235"/>
          <w:sz w:val="32"/>
        </w:rPr>
      </w:pPr>
      <w:bookmarkStart w:id="0" w:name="_GoBack"/>
      <w:r>
        <w:rPr>
          <w:rStyle w:val="34"/>
          <w:rFonts w:hint="default" w:ascii="Times New Roman" w:hAnsi="Times New Roman" w:eastAsia="SimSun" w:cs="Times New Roman"/>
          <w:sz w:val="24"/>
          <w:szCs w:val="24"/>
          <w:lang w:val="vi-VN"/>
        </w:rPr>
        <w:t>Các c</w:t>
      </w:r>
      <w:r>
        <w:rPr>
          <w:rStyle w:val="34"/>
          <w:rFonts w:hint="default" w:ascii="Times New Roman" w:hAnsi="Times New Roman" w:eastAsia="SimSun" w:cs="Times New Roman"/>
          <w:sz w:val="24"/>
          <w:szCs w:val="24"/>
        </w:rPr>
        <w:t>âu hỏi tình huống cực khó — mỗi câu yêu cầu xác định đồng thời 2–3 vấn đề pháp lý</w:t>
      </w:r>
      <w:r>
        <w:rPr>
          <w:rFonts w:hint="default" w:ascii="Times New Roman" w:hAnsi="Times New Roman" w:eastAsia="SimSun" w:cs="Times New Roman"/>
          <w:sz w:val="24"/>
          <w:szCs w:val="24"/>
        </w:rPr>
        <w:t>, có thể là: điều khoản áp dụng + nghĩa vụ của từng bên + cơ quan có thẩm quyền xử lý, hoặc hành vi vi phạm + khung pháp lý + hệ quả pháp lý.</w:t>
      </w:r>
    </w:p>
    <w:bookmarkEnd w:id="0"/>
    <w:p w14:paraId="20CE77EA">
      <w:pPr>
        <w:pStyle w:val="2"/>
        <w:spacing w:before="160" w:after="120"/>
        <w:rPr>
          <w:rFonts w:hint="default" w:ascii="Times New Roman" w:hAnsi="Times New Roman" w:cs="Times New Roman"/>
        </w:rPr>
      </w:pPr>
      <w:r>
        <w:rPr>
          <w:rFonts w:hint="default" w:ascii="Times New Roman" w:hAnsi="Times New Roman" w:eastAsia="Times New Roman" w:cs="Times New Roman"/>
          <w:b/>
          <w:color w:val="548235"/>
          <w:sz w:val="32"/>
        </w:rPr>
        <w:t>Câu 1</w:t>
      </w:r>
    </w:p>
    <w:tbl>
      <w:tblPr>
        <w:tblStyle w:val="12"/>
        <w:tblW w:w="0" w:type="auto"/>
        <w:jc w:val="center"/>
        <w:tblLayout w:type="autofit"/>
        <w:tblCellMar>
          <w:top w:w="0" w:type="dxa"/>
          <w:left w:w="108" w:type="dxa"/>
          <w:bottom w:w="0" w:type="dxa"/>
          <w:right w:w="108" w:type="dxa"/>
        </w:tblCellMar>
      </w:tblPr>
      <w:tblGrid>
        <w:gridCol w:w="10080"/>
      </w:tblGrid>
      <w:tr w14:paraId="0E71404B">
        <w:tblPrEx>
          <w:tblCellMar>
            <w:top w:w="0" w:type="dxa"/>
            <w:left w:w="108" w:type="dxa"/>
            <w:bottom w:w="0" w:type="dxa"/>
            <w:right w:w="108" w:type="dxa"/>
          </w:tblCellMar>
        </w:tblPrEx>
        <w:trPr>
          <w:jc w:val="center"/>
        </w:trPr>
        <w:tc>
          <w:tcPr>
            <w:tcW w:w="10080" w:type="dxa"/>
            <w:tcBorders>
              <w:top w:val="single" w:color="A9D18E" w:sz="8" w:space="0"/>
              <w:left w:val="single" w:color="A9D18E" w:sz="8" w:space="0"/>
              <w:bottom w:val="single" w:color="A9D18E" w:sz="8" w:space="0"/>
              <w:right w:val="single" w:color="A9D18E" w:sz="8" w:space="0"/>
            </w:tcBorders>
            <w:shd w:val="clear" w:color="auto" w:fill="E2F0D9"/>
            <w:vAlign w:val="center"/>
          </w:tcPr>
          <w:p w14:paraId="39523CD2">
            <w:pPr>
              <w:spacing w:before="80" w:after="80"/>
              <w:rPr>
                <w:rFonts w:hint="default" w:ascii="Times New Roman" w:hAnsi="Times New Roman" w:cs="Times New Roman"/>
              </w:rPr>
            </w:pPr>
            <w:r>
              <w:rPr>
                <w:rFonts w:hint="default" w:ascii="Times New Roman" w:hAnsi="Times New Roman" w:eastAsia="Times New Roman" w:cs="Times New Roman"/>
                <w:b/>
                <w:color w:val="375623"/>
                <w:sz w:val="23"/>
              </w:rPr>
              <w:t>Câu hỏi</w:t>
            </w:r>
          </w:p>
          <w:p w14:paraId="2059ADC5">
            <w:pPr>
              <w:spacing w:after="60"/>
              <w:jc w:val="both"/>
              <w:rPr>
                <w:rFonts w:hint="default" w:ascii="Times New Roman" w:hAnsi="Times New Roman" w:cs="Times New Roman"/>
              </w:rPr>
            </w:pPr>
            <w:r>
              <w:rPr>
                <w:rFonts w:hint="default" w:ascii="Times New Roman" w:hAnsi="Times New Roman" w:eastAsia="Times New Roman" w:cs="Times New Roman"/>
                <w:sz w:val="22"/>
              </w:rPr>
              <w:t>Một công ty vận hành sàn thương mại điện tử để bên thứ ba bán hàng. Một người bán đăng sản phẩm kèm thông tin sai về xuất xứ. Người mua bị thiệt hại và kiện cả người bán lẫn sàn. Sàn lập luận mình chỉ là trung gian lưu trữ thông tin, không phải người bán. Xác định: theo Luật CNTT, sàn có phải chịu trách nhiệm về nội dung người bán đăng không và trong điều kiện nào thì có, trong điều kiện nào thì không; nghĩa vụ chủ động kiểm soát nội dung của sàn đến đâu; và khi nhận được khiếu nại từ người mua sàn phải xử lý trong thời hạn nào.</w:t>
            </w:r>
          </w:p>
        </w:tc>
      </w:tr>
    </w:tbl>
    <w:p w14:paraId="710E4331">
      <w:pPr>
        <w:spacing w:before="160" w:after="80"/>
        <w:rPr>
          <w:rFonts w:hint="default" w:ascii="Times New Roman" w:hAnsi="Times New Roman" w:cs="Times New Roman"/>
        </w:rPr>
      </w:pPr>
      <w:r>
        <w:rPr>
          <w:rFonts w:hint="default" w:ascii="Times New Roman" w:hAnsi="Times New Roman" w:eastAsia="Times New Roman" w:cs="Times New Roman"/>
          <w:b/>
          <w:color w:val="1F4E79"/>
          <w:sz w:val="26"/>
        </w:rPr>
        <w:t>Câu trả lời</w:t>
      </w:r>
    </w:p>
    <w:p w14:paraId="58C65296">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1. Trách nhiệm pháp lý về nội dung người bán đăng tải</w:t>
      </w:r>
    </w:p>
    <w:p w14:paraId="4E9F4205">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Theo Luật Công nghệ thông tin (văn bản hợp nhất 2025), sàn thương mại điện tử (với tư cách là chủ sở hữu trang thông tin điện tử bán hàng) chịu trách nhiệm về nội dung thông tin cung cấp trên trang thông tin điện tử.</w:t>
      </w:r>
    </w:p>
    <w:p w14:paraId="4F50595D">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Quy định trách nhiệm:</w:t>
      </w:r>
    </w:p>
    <w:p w14:paraId="0D3EBAFC">
      <w:pPr>
        <w:spacing w:after="60"/>
        <w:ind w:left="360" w:right="216"/>
        <w:rPr>
          <w:rFonts w:hint="default" w:ascii="Times New Roman" w:hAnsi="Times New Roman" w:cs="Times New Roman"/>
        </w:rPr>
      </w:pPr>
      <w:r>
        <w:rPr>
          <w:rFonts w:hint="default" w:ascii="Times New Roman" w:hAnsi="Times New Roman" w:eastAsia="Times New Roman" w:cs="Times New Roman"/>
          <w:i/>
          <w:color w:val="404040"/>
          <w:sz w:val="21"/>
        </w:rPr>
        <w:t>"Tổ chức, cá nhân sở hữu trang thông tin điện tử bán hàng chịu trách nhiệm về nội dung thông tin cung cấp trên trang thông tin điện tử, thực hiện quy định của Luật này và các quy định khác của pháp luật có liên quan về giao kết hợp đồng, đặt hàng, thanh toán, quảng cáo, khuyến mại."</w:t>
      </w:r>
    </w:p>
    <w:p w14:paraId="2E9CCBA1">
      <w:pPr>
        <w:spacing w:after="60"/>
        <w:rPr>
          <w:rFonts w:hint="default" w:ascii="Times New Roman" w:hAnsi="Times New Roman" w:cs="Times New Roman"/>
        </w:rPr>
      </w:pPr>
      <w:r>
        <w:rPr>
          <w:rFonts w:hint="default" w:ascii="Times New Roman" w:hAnsi="Times New Roman" w:eastAsia="Times New Roman" w:cs="Times New Roman"/>
          <w:i/>
          <w:color w:val="404040"/>
          <w:sz w:val="21"/>
        </w:rPr>
        <w:t>[Luật Công nghệ thông tin (văn bản hợp nhất 2025)] Điều 30, Khoản 3</w:t>
      </w:r>
    </w:p>
    <w:p w14:paraId="2EACC8D8">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Điều kiện miễn trừ (nếu có):</w:t>
      </w:r>
    </w:p>
    <w:p w14:paraId="39DD251A">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Mặc dù Điều 30 quy định trách nhiệm của chủ sở hữu, nhưng Điều 16 quy định khung miễn trừ cho việc truyền đưa thông tin của người khác. Sàn có thể không phải chịu trách nhiệm về nội dung người bán đăng tải nếu thỏa mãn các điều kiện sau:</w:t>
      </w:r>
    </w:p>
    <w:p w14:paraId="1F7F9C5E">
      <w:pPr>
        <w:spacing w:after="60"/>
        <w:ind w:left="360" w:right="216"/>
        <w:rPr>
          <w:rFonts w:hint="default" w:ascii="Times New Roman" w:hAnsi="Times New Roman" w:cs="Times New Roman"/>
        </w:rPr>
      </w:pPr>
      <w:r>
        <w:rPr>
          <w:rFonts w:hint="default" w:ascii="Times New Roman" w:hAnsi="Times New Roman" w:eastAsia="Times New Roman" w:cs="Times New Roman"/>
          <w:i/>
          <w:color w:val="404040"/>
          <w:sz w:val="21"/>
        </w:rPr>
        <w:t>"Tổ chức, cá nhân truyền đưa thông tin số của tổ chức, cá nhân khác không phải chịu trách nhiệm về nội dung thông tin đó, trừ trường hợp thực hiện một trong các hành vi sau đây:</w:t>
      </w:r>
    </w:p>
    <w:p w14:paraId="2570D1C6">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a) Chính mình bắt đầu việc truyền đưa thông tin;</w:t>
      </w:r>
    </w:p>
    <w:p w14:paraId="4AAFB047">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b) Lựa chọn người nhận thông tin được truyền đưa;</w:t>
      </w:r>
    </w:p>
    <w:p w14:paraId="0904DDF8">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 Lựa chọn và sửa đổi nội dung thông tin được truyền đưa."</w:t>
      </w:r>
    </w:p>
    <w:p w14:paraId="603887B3">
      <w:pPr>
        <w:spacing w:after="60"/>
        <w:rPr>
          <w:rFonts w:hint="default" w:ascii="Times New Roman" w:hAnsi="Times New Roman" w:cs="Times New Roman"/>
        </w:rPr>
      </w:pPr>
      <w:r>
        <w:rPr>
          <w:rFonts w:hint="default" w:ascii="Times New Roman" w:hAnsi="Times New Roman" w:eastAsia="Times New Roman" w:cs="Times New Roman"/>
          <w:i/>
          <w:color w:val="404040"/>
          <w:sz w:val="21"/>
        </w:rPr>
        <w:t>[Luật Công nghệ thông tin (văn bản hợp nhất 2025)] Điều 16, Khoản 4</w:t>
      </w:r>
    </w:p>
    <w:p w14:paraId="3575DE84">
      <w:pPr>
        <w:spacing w:after="60"/>
        <w:ind w:firstLine="259"/>
        <w:jc w:val="both"/>
        <w:rPr>
          <w:rFonts w:hint="default" w:ascii="Times New Roman" w:hAnsi="Times New Roman" w:eastAsia="Times New Roman" w:cs="Times New Roman"/>
          <w:sz w:val="22"/>
        </w:rPr>
      </w:pPr>
      <w:r>
        <w:rPr>
          <w:rFonts w:hint="default" w:ascii="Times New Roman" w:hAnsi="Times New Roman" w:eastAsia="Times New Roman" w:cs="Times New Roman"/>
          <w:sz w:val="22"/>
        </w:rPr>
        <w:t>Phân tích: Nếu sàn chỉ đóng vai trò lưu trữ trung gian, không khởi xướng, không chọn người mua cụ thể và không sửa đổi nội dung sản phẩm, sàn có thể viện dẫn Điều 16 Khoản 4 để giảm nhẹ trách nhiệm, tuy nhiên Điều 30 Khoản 3 vẫn đặt gánh nặng trách nhiệm lên chủ sở hữu trang bán hàng.</w:t>
      </w:r>
    </w:p>
    <w:p w14:paraId="764CA06E">
      <w:pPr>
        <w:spacing w:after="60"/>
        <w:ind w:firstLine="259"/>
        <w:jc w:val="both"/>
        <w:rPr>
          <w:rFonts w:hint="default" w:ascii="Times New Roman" w:hAnsi="Times New Roman" w:cs="Times New Roman"/>
        </w:rPr>
      </w:pPr>
      <w:r>
        <w:rPr>
          <w:rFonts w:hint="default" w:ascii="Times New Roman" w:hAnsi="Times New Roman" w:eastAsia="Times New Roman" w:cs="Times New Roman"/>
          <w:b/>
          <w:color w:val="375623"/>
          <w:sz w:val="26"/>
        </w:rPr>
        <w:t>2. Nghĩa vụ chủ động kiểm soát nội dung</w:t>
      </w:r>
    </w:p>
    <w:p w14:paraId="5D4386CC">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không quy định nghĩa vụ kiểm tra chủ động (scanning) toàn bộ nội dung, nhưng quy định nghĩa vụ xử lý khi biết nội dung vi phạm.</w:t>
      </w:r>
    </w:p>
    <w:p w14:paraId="3011045C">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Nghĩa vụ xử lý:</w:t>
      </w:r>
    </w:p>
    <w:p w14:paraId="092AF7C9">
      <w:pPr>
        <w:spacing w:after="60"/>
        <w:ind w:left="360" w:right="216"/>
        <w:rPr>
          <w:rFonts w:hint="default" w:ascii="Times New Roman" w:hAnsi="Times New Roman" w:cs="Times New Roman"/>
        </w:rPr>
      </w:pPr>
      <w:r>
        <w:rPr>
          <w:rFonts w:hint="default" w:ascii="Times New Roman" w:hAnsi="Times New Roman" w:eastAsia="Times New Roman" w:cs="Times New Roman"/>
          <w:i/>
          <w:color w:val="404040"/>
          <w:sz w:val="21"/>
        </w:rPr>
        <w:t>"Tổ chức, cá nhân truyền đưa thông tin số có trách nhiệm tiến hành kịp thời các biện pháp cần thiết để ngăn chặn việc truy nhập thông tin hoặc loại bỏ thông tin..."</w:t>
      </w:r>
    </w:p>
    <w:p w14:paraId="4844C616">
      <w:pPr>
        <w:spacing w:after="60"/>
        <w:rPr>
          <w:rFonts w:hint="default" w:ascii="Times New Roman" w:hAnsi="Times New Roman" w:cs="Times New Roman"/>
        </w:rPr>
      </w:pPr>
      <w:r>
        <w:rPr>
          <w:rFonts w:hint="default" w:ascii="Times New Roman" w:hAnsi="Times New Roman" w:eastAsia="Times New Roman" w:cs="Times New Roman"/>
          <w:i/>
          <w:color w:val="404040"/>
          <w:sz w:val="21"/>
        </w:rPr>
        <w:t>[Luật Công nghệ thông tin (văn bản hợp nhất 2025)] Điều 16, Khoản 3</w:t>
      </w:r>
    </w:p>
    <w:p w14:paraId="49FB39EA">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Phạm vi kiểm soát:</w:t>
      </w:r>
    </w:p>
    <w:p w14:paraId="7BE582BB">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Nghĩa vụ là "tiến hành kịp thời các biện pháp cần thiết để ngăn chặn việc truy nhập thông tin hoặc loại bỏ thông tin" khi có thông tin vi phạm pháp luật. Không có quy định bắt buộc phải có hệ thống quét nội dung tự động (proactive scanning) trong văn bản này.</w:t>
      </w:r>
    </w:p>
    <w:p w14:paraId="3E1536C2">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3. Thời hạn xử lý khiếu nại</w:t>
      </w:r>
    </w:p>
    <w:p w14:paraId="5442980C">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Văn bản pháp luật hiện hành không quy định cụ thể con số thời gian (ví dụ: 24 giờ, 48 giờ) để xử lý khiếu nại.</w:t>
      </w:r>
    </w:p>
    <w:p w14:paraId="1B0711EC">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Quy định hiện có:</w:t>
      </w:r>
    </w:p>
    <w:p w14:paraId="50C397B5">
      <w:pPr>
        <w:spacing w:after="60"/>
        <w:ind w:left="360" w:right="216"/>
        <w:rPr>
          <w:rFonts w:hint="default" w:ascii="Times New Roman" w:hAnsi="Times New Roman" w:cs="Times New Roman"/>
        </w:rPr>
      </w:pPr>
      <w:r>
        <w:rPr>
          <w:rFonts w:hint="default" w:ascii="Times New Roman" w:hAnsi="Times New Roman" w:eastAsia="Times New Roman" w:cs="Times New Roman"/>
          <w:i/>
          <w:color w:val="404040"/>
          <w:sz w:val="21"/>
        </w:rPr>
        <w:t>"Thông báo kịp thời cho người bán biết về thông tin nhập sai của mình và người bán cũng đã xác nhận việc nhận..."</w:t>
      </w:r>
    </w:p>
    <w:p w14:paraId="435642C3">
      <w:pPr>
        <w:spacing w:after="60"/>
        <w:rPr>
          <w:rFonts w:hint="default" w:ascii="Times New Roman" w:hAnsi="Times New Roman" w:cs="Times New Roman"/>
        </w:rPr>
      </w:pPr>
      <w:r>
        <w:rPr>
          <w:rFonts w:hint="default" w:ascii="Times New Roman" w:hAnsi="Times New Roman" w:eastAsia="Times New Roman" w:cs="Times New Roman"/>
          <w:i/>
          <w:color w:val="404040"/>
          <w:sz w:val="21"/>
        </w:rPr>
        <w:t>[Luật Công nghệ thông tin (văn bản hợp nhất 2025)] Điều 32, Khoản 1</w:t>
      </w:r>
    </w:p>
    <w:p w14:paraId="218BA48B">
      <w:pPr>
        <w:spacing w:after="60"/>
        <w:ind w:left="360" w:right="216"/>
        <w:rPr>
          <w:rFonts w:hint="default" w:ascii="Times New Roman" w:hAnsi="Times New Roman" w:cs="Times New Roman"/>
        </w:rPr>
      </w:pPr>
      <w:r>
        <w:rPr>
          <w:rFonts w:hint="default" w:ascii="Times New Roman" w:hAnsi="Times New Roman" w:eastAsia="Times New Roman" w:cs="Times New Roman"/>
          <w:i/>
          <w:color w:val="404040"/>
          <w:sz w:val="21"/>
        </w:rPr>
        <w:t>"...tiến hành kịp thời các biện pháp cần thiết..."</w:t>
      </w:r>
    </w:p>
    <w:p w14:paraId="6E19AEF7">
      <w:pPr>
        <w:spacing w:after="60"/>
        <w:rPr>
          <w:rFonts w:hint="default" w:ascii="Times New Roman" w:hAnsi="Times New Roman" w:cs="Times New Roman"/>
        </w:rPr>
      </w:pPr>
      <w:r>
        <w:rPr>
          <w:rFonts w:hint="default" w:ascii="Times New Roman" w:hAnsi="Times New Roman" w:eastAsia="Times New Roman" w:cs="Times New Roman"/>
          <w:i/>
          <w:color w:val="404040"/>
          <w:sz w:val="21"/>
        </w:rPr>
        <w:t>[Luật Công nghệ thông tin (văn bản hợp nhất 2025)] Điều 16, Khoản 3</w:t>
      </w:r>
    </w:p>
    <w:p w14:paraId="643F8045">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Phân tích khoảng trống pháp lý (Trạng thái B):</w:t>
      </w:r>
    </w:p>
    <w:p w14:paraId="701BB581">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quy định nghĩa vụ xử lý "kịp thời" nhưng không định lượng thời hạn cụ thể.</w:t>
      </w:r>
    </w:p>
    <w:p w14:paraId="5CD9F2B5">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Nguyên tắc áp dụng: Theo nguyên tắc quản lý thống nhất và thực tiễn thi hành, "kịp thời" thường được hiểu là trong thời gian ngắn nhất có thể để bảo vệ quyền lợi người tiêu dùng, thường dựa trên cam kết dịch vụ hoặc quy định của Bộ Công Thương (nếu có văn bản hướng dẫn chi tiết).</w:t>
      </w:r>
    </w:p>
    <w:p w14:paraId="4A3DCBEA">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Phân công trách nhiệm:</w:t>
      </w:r>
    </w:p>
    <w:p w14:paraId="6E04C396">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Nhà nước: Có trách nhiệm xây dựng cơ chế, chính sách và quy định chi tiết về thời hạn xử lý (nếu chưa có).</w:t>
      </w:r>
    </w:p>
    <w:p w14:paraId="796F8442">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Doanh nghiệp: Phải tuân thủ nghĩa vụ "kịp thời" theo tinh thần bảo vệ người tiêu dùng và hợp đồng dịch vụ.</w:t>
      </w:r>
    </w:p>
    <w:p w14:paraId="4AE03028">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Mức độ chắc chắn: Đây là khoảng trống thực sự về mặt định lượng thời hạn trong Luật Công nghệ thông tin 2025. Cần quy định chi tiết của Chính phủ hoặc văn bản hướng dẫn để xác định con số cụ thể.</w:t>
      </w:r>
    </w:p>
    <w:p w14:paraId="45D51E20">
      <w:pPr>
        <w:spacing w:after="60"/>
        <w:ind w:firstLine="259"/>
        <w:jc w:val="both"/>
        <w:rPr>
          <w:rFonts w:hint="default" w:ascii="Times New Roman" w:hAnsi="Times New Roman" w:eastAsia="Times New Roman" w:cs="Times New Roman"/>
          <w:sz w:val="22"/>
        </w:rPr>
      </w:pPr>
      <w:r>
        <w:rPr>
          <w:rFonts w:hint="default" w:ascii="Times New Roman" w:hAnsi="Times New Roman" w:eastAsia="Times New Roman" w:cs="Times New Roman"/>
          <w:sz w:val="22"/>
        </w:rPr>
        <w:t>Tổng hợp: Sàn thương mại điện tử chịu trách nhiệm về nội dung (Điều 30), có nghĩa vụ loại bỏ thông tin vi phạm "kịp thời" (Điều 16), nhưng không có thời hạn cụ thể trong văn bản Luật.</w:t>
      </w:r>
    </w:p>
    <w:p w14:paraId="641DF4B8">
      <w:pPr>
        <w:spacing w:after="60"/>
        <w:ind w:firstLine="259"/>
        <w:jc w:val="both"/>
        <w:rPr>
          <w:rFonts w:hint="default" w:ascii="Times New Roman" w:hAnsi="Times New Roman" w:eastAsia="Times New Roman" w:cs="Times New Roman"/>
          <w:sz w:val="22"/>
        </w:rPr>
      </w:pPr>
    </w:p>
    <w:p w14:paraId="131BFE06">
      <w:pPr>
        <w:rPr>
          <w:rFonts w:hint="default" w:ascii="Times New Roman" w:hAnsi="Times New Roman" w:cs="Times New Roman"/>
        </w:rPr>
      </w:pPr>
      <w:r>
        <w:rPr>
          <w:rFonts w:hint="default" w:ascii="Times New Roman" w:hAnsi="Times New Roman" w:eastAsia="Times New Roman" w:cs="Times New Roman"/>
          <w:b/>
          <w:color w:val="548235"/>
          <w:sz w:val="32"/>
        </w:rPr>
        <w:t>Câu 2</w:t>
      </w:r>
    </w:p>
    <w:tbl>
      <w:tblPr>
        <w:tblStyle w:val="12"/>
        <w:tblW w:w="0" w:type="auto"/>
        <w:jc w:val="center"/>
        <w:tblLayout w:type="autofit"/>
        <w:tblCellMar>
          <w:top w:w="0" w:type="dxa"/>
          <w:left w:w="108" w:type="dxa"/>
          <w:bottom w:w="0" w:type="dxa"/>
          <w:right w:w="108" w:type="dxa"/>
        </w:tblCellMar>
      </w:tblPr>
      <w:tblGrid>
        <w:gridCol w:w="10080"/>
      </w:tblGrid>
      <w:tr w14:paraId="1C820D4D">
        <w:tblPrEx>
          <w:tblCellMar>
            <w:top w:w="0" w:type="dxa"/>
            <w:left w:w="108" w:type="dxa"/>
            <w:bottom w:w="0" w:type="dxa"/>
            <w:right w:w="108" w:type="dxa"/>
          </w:tblCellMar>
        </w:tblPrEx>
        <w:trPr>
          <w:jc w:val="center"/>
        </w:trPr>
        <w:tc>
          <w:tcPr>
            <w:tcW w:w="10080" w:type="dxa"/>
            <w:tcBorders>
              <w:top w:val="single" w:color="A9D18E" w:sz="8" w:space="0"/>
              <w:left w:val="single" w:color="A9D18E" w:sz="8" w:space="0"/>
              <w:bottom w:val="single" w:color="A9D18E" w:sz="8" w:space="0"/>
              <w:right w:val="single" w:color="A9D18E" w:sz="8" w:space="0"/>
            </w:tcBorders>
            <w:shd w:val="clear" w:color="auto" w:fill="E2F0D9"/>
            <w:vAlign w:val="center"/>
          </w:tcPr>
          <w:p w14:paraId="3EA036CF">
            <w:pPr>
              <w:spacing w:before="80" w:after="80"/>
              <w:rPr>
                <w:rFonts w:hint="default" w:ascii="Times New Roman" w:hAnsi="Times New Roman" w:cs="Times New Roman"/>
              </w:rPr>
            </w:pPr>
            <w:r>
              <w:rPr>
                <w:rFonts w:hint="default" w:ascii="Times New Roman" w:hAnsi="Times New Roman" w:eastAsia="Times New Roman" w:cs="Times New Roman"/>
                <w:b/>
                <w:color w:val="375623"/>
                <w:sz w:val="23"/>
              </w:rPr>
              <w:t>Câu hỏi</w:t>
            </w:r>
          </w:p>
          <w:p w14:paraId="4083B2F2">
            <w:pPr>
              <w:spacing w:after="60"/>
              <w:jc w:val="both"/>
              <w:rPr>
                <w:rFonts w:hint="default" w:ascii="Times New Roman" w:hAnsi="Times New Roman" w:cs="Times New Roman"/>
              </w:rPr>
            </w:pPr>
            <w:r>
              <w:rPr>
                <w:rFonts w:hint="default" w:ascii="Times New Roman" w:hAnsi="Times New Roman" w:eastAsia="Times New Roman" w:cs="Times New Roman"/>
                <w:sz w:val="22"/>
              </w:rPr>
              <w:t>Một cơ quan nhà nước cấp tỉnh triển khai cổng dịch vụ công trực tuyến. Đúng ngày cuối nộp hồ sơ, hệ thống bị sập do lỗi hạ tầng thuê ngoài. Hàng trăm người dân không nộp được hồ sơ và bị mất quyền lợi. Cơ quan lập luận đây là bất khả kháng do nhà cung cấp hạ tầng gây ra. Nhà cung cấp lập luận hợp đồng không quy định thời gian uptime cụ thể. Xác định: nghĩa vụ vận hành liên tục của cơ quan nhà nước theo luật là gì và có ngoại lệ nào; lỗi do nhà thầu có được coi là bất khả kháng của cơ quan nhà nước không; và người dân bị thiệt hại có căn cứ đòi bồi thường từ ai.</w:t>
            </w:r>
          </w:p>
        </w:tc>
      </w:tr>
    </w:tbl>
    <w:p w14:paraId="04F5BF0C">
      <w:pPr>
        <w:spacing w:before="160" w:after="80"/>
        <w:rPr>
          <w:rFonts w:hint="default" w:ascii="Times New Roman" w:hAnsi="Times New Roman" w:cs="Times New Roman"/>
        </w:rPr>
      </w:pPr>
      <w:r>
        <w:rPr>
          <w:rFonts w:hint="default" w:ascii="Times New Roman" w:hAnsi="Times New Roman" w:eastAsia="Times New Roman" w:cs="Times New Roman"/>
          <w:b/>
          <w:color w:val="1F4E79"/>
          <w:sz w:val="26"/>
        </w:rPr>
        <w:t>Câu trả lời</w:t>
      </w:r>
    </w:p>
    <w:p w14:paraId="0FE60643">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1. Nghĩa vụ vận hành liên tục và ngoại lệ</w:t>
      </w:r>
    </w:p>
    <w:p w14:paraId="26DC9D1D">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Theo Luật Công nghệ thông tin (văn bản hợp nhất 2025), cơ quan nhà nước có nghĩa vụ bảo đảm hệ thống hoạt động liên tục, ngoại trừ trường hợp bất khả kháng.</w:t>
      </w:r>
    </w:p>
    <w:p w14:paraId="0594DE7E">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Căn cứ: [Luật Công nghệ thông tin (văn bản hợp nhất 2025)] Điều 9, Khoản 4, điểm h:</w:t>
      </w:r>
    </w:p>
    <w:p w14:paraId="2F33528D">
      <w:pPr>
        <w:spacing w:after="60"/>
        <w:ind w:left="360" w:right="216"/>
        <w:rPr>
          <w:rFonts w:hint="default" w:ascii="Times New Roman" w:hAnsi="Times New Roman" w:cs="Times New Roman"/>
        </w:rPr>
      </w:pPr>
      <w:r>
        <w:rPr>
          <w:rFonts w:hint="default" w:ascii="Times New Roman" w:hAnsi="Times New Roman" w:eastAsia="Times New Roman" w:cs="Times New Roman"/>
          <w:i/>
          <w:color w:val="404040"/>
          <w:sz w:val="21"/>
        </w:rPr>
        <w:t>"Bảo đảm hệ thống thiết bị cung cấp thông tin, lấy ý kiến trên môi trường mạng hoạt động cả trong giờ và ngoài giờ làm việc, trừ trường hợp bất khả kháng;"</w:t>
      </w:r>
    </w:p>
    <w:p w14:paraId="53682F11">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Phân tích ngoại lệ: Luật quy định ngoại lệ là "trường hợp bất khả kháng" nhưng KHÔNG định nghĩa cụ thể khái niệm này trong các điều khoản liên quan đến vận hành hệ thống (ví dụ: Điều 4 chỉ định nghĩa các thuật ngữ cơ bản như "Công nghệ thông tin", "Cơ sở hạ tầng thông tin" mà không định nghĩa "bất khả kháng").</w:t>
      </w:r>
    </w:p>
    <w:p w14:paraId="6A49E104">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2. Lỗi của nhà cung cấp hạ tầng có phải là bất khả kháng không?</w:t>
      </w:r>
    </w:p>
    <w:p w14:paraId="146170D5">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không quy định cụ thể về việc lỗi của bên thứ ba (nhà cung cấp hạ tầng) có được coi là bất khả kháng đối với cơ quan nhà nước hay không.</w:t>
      </w:r>
    </w:p>
    <w:p w14:paraId="57578F83">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Phân tích khoảng trống:</w:t>
      </w:r>
    </w:p>
    <w:p w14:paraId="78561D55">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Nguyên tắc pháp lý áp dụng: Theo nguyên tắc quản lý thống nhất và quan hệ hợp đồng, lỗi của bên thứ ba (nhà thầu) thường KHÔNG được coi là bất khả kháng đối với bên giao kết hợp đồng (cơ quan nhà nước) vì đây là rủi ro có thể dự báo và quản lý thông qua hợp đồng.</w:t>
      </w:r>
    </w:p>
    <w:p w14:paraId="1EE101EE">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Trách nhiệm: Cơ quan nhà nước là chủ thể trực tiếp cung cấp dịch vụ công cho người dân. Việc hệ thống sập do lỗi hạ tầng thuê ngoài vẫn thuộc phạm vi quản lý rủi ro của cơ quan nhà nước.</w:t>
      </w:r>
    </w:p>
    <w:p w14:paraId="7A15314E">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Kết luận: Đây là suy luận từ nguyên tắc pháp luật dân sự/hành chính — luật chuyên ngành chưa quy định tường minh về việc phân loại lỗi bên thứ ba thành bất khả kháng.</w:t>
      </w:r>
    </w:p>
    <w:p w14:paraId="46CFB9BF">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3. Căn cứ bồi thường thiệt hại cho người dân</w:t>
      </w:r>
    </w:p>
    <w:p w14:paraId="5DDBCB1B">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Viễn thông 2023 quy định chế tài bồi thường cho doanh nghiệp viễn thông, nhưng LUẬT KHÔNG QUY ĐỊNH CỤ THỂ về chế tài bồi thường trực tiếp của cơ quan nhà nước đối với người dân khi hệ thống sập.</w:t>
      </w:r>
    </w:p>
    <w:p w14:paraId="530B519B">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Căn cứ liên quan:</w:t>
      </w:r>
    </w:p>
    <w:p w14:paraId="2E17616A">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Viễn thông 2023] Điều 62, Khoản 1: "Doanh nghiệp viễn thông cung cấp dịch vụ viễn thông không đúng thời gian và chất lượng theo hợp đồng... phải bồi thường thiệt hại vật chất trực tiếp..." (Áp dụng cho doanh nghiệp viễn thông, không trực tiếp áp dụng cho cơ quan nhà nước).</w:t>
      </w:r>
    </w:p>
    <w:p w14:paraId="75CCD971">
      <w:pPr>
        <w:spacing w:after="60"/>
        <w:rPr>
          <w:rFonts w:hint="default" w:ascii="Times New Roman" w:hAnsi="Times New Roman" w:cs="Times New Roman"/>
        </w:rPr>
      </w:pPr>
      <w:r>
        <w:rPr>
          <w:rFonts w:hint="default" w:ascii="Times New Roman" w:hAnsi="Times New Roman" w:eastAsia="Times New Roman" w:cs="Times New Roman"/>
          <w:i/>
          <w:color w:val="404040"/>
          <w:sz w:val="21"/>
        </w:rPr>
        <w:t>[Luật Công nghệ thông tin (văn bản hợp nhất 2025)] Điều 9, Khoản 4: Chỉ quy định "có trách nhiệm" (bao gồm bảo đảm hoạt động) nhưng không nêu cụ thể mức bồi thường.</w:t>
      </w:r>
    </w:p>
    <w:p w14:paraId="3B7B7D07">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Phân tích trách nhiệm:</w:t>
      </w:r>
    </w:p>
    <w:p w14:paraId="12500B67">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Nhà nước (Cơ quan nhà nước): Là chủ thể cung cấp dịch vụ công trực tiếp cho người dân. Khi dịch vụ bị gián đoạn gây thiệt hại, cơ quan nhà nước phải chịu trách nhiệm trước pháp luật (hành chính/dân sự) để bảo vệ quyền lợi công dân.</w:t>
      </w:r>
    </w:p>
    <w:p w14:paraId="6E947C40">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Doanh nghiệp (Nhà cung cấp hạ tầng): Chịu trách nhiệm với cơ quan nhà nước theo hợp đồng.</w:t>
      </w:r>
    </w:p>
    <w:p w14:paraId="11580C62">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Quy trình: Cơ quan nhà nước phải bồi thường người dân trước (dựa trên nguyên tắc bảo vệ quyền lợi công dân), sau đó khởi kiện hoặc yêu cầu bồi hoàn từ nhà cung cấp hạ tầng dựa trên hợp đồng.</w:t>
      </w:r>
    </w:p>
    <w:p w14:paraId="2F658F91">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Kết luận: Đây là khoảng trống thực sự trong văn bản luật chuyên ngành về viễn thông và CNTT — cần quy định chi tiết của Chính phủ hoặc áp dụng nguyên tắc chung về trách nhiệm của cơ quan nhà nước trong cung cấp dịch vụ công.</w:t>
      </w:r>
    </w:p>
    <w:p w14:paraId="206CB70A">
      <w:pPr>
        <w:rPr>
          <w:rFonts w:hint="default" w:ascii="Times New Roman" w:hAnsi="Times New Roman" w:cs="Times New Roman"/>
        </w:rPr>
      </w:pPr>
      <w:r>
        <w:rPr>
          <w:rFonts w:hint="default" w:ascii="Times New Roman" w:hAnsi="Times New Roman" w:cs="Times New Roman"/>
        </w:rPr>
        <w:br w:type="page"/>
      </w:r>
    </w:p>
    <w:p w14:paraId="00FEB9DD">
      <w:pPr>
        <w:pStyle w:val="2"/>
        <w:spacing w:before="160" w:after="120"/>
        <w:rPr>
          <w:rFonts w:hint="default" w:ascii="Times New Roman" w:hAnsi="Times New Roman" w:cs="Times New Roman"/>
        </w:rPr>
      </w:pPr>
      <w:r>
        <w:rPr>
          <w:rFonts w:hint="default" w:ascii="Times New Roman" w:hAnsi="Times New Roman" w:eastAsia="Times New Roman" w:cs="Times New Roman"/>
          <w:b/>
          <w:color w:val="548235"/>
          <w:sz w:val="32"/>
        </w:rPr>
        <w:t>Câu 3</w:t>
      </w:r>
    </w:p>
    <w:tbl>
      <w:tblPr>
        <w:tblStyle w:val="12"/>
        <w:tblW w:w="0" w:type="auto"/>
        <w:jc w:val="center"/>
        <w:tblLayout w:type="autofit"/>
        <w:tblCellMar>
          <w:top w:w="0" w:type="dxa"/>
          <w:left w:w="108" w:type="dxa"/>
          <w:bottom w:w="0" w:type="dxa"/>
          <w:right w:w="108" w:type="dxa"/>
        </w:tblCellMar>
      </w:tblPr>
      <w:tblGrid>
        <w:gridCol w:w="10080"/>
      </w:tblGrid>
      <w:tr w14:paraId="649D3392">
        <w:tblPrEx>
          <w:tblCellMar>
            <w:top w:w="0" w:type="dxa"/>
            <w:left w:w="108" w:type="dxa"/>
            <w:bottom w:w="0" w:type="dxa"/>
            <w:right w:w="108" w:type="dxa"/>
          </w:tblCellMar>
        </w:tblPrEx>
        <w:trPr>
          <w:jc w:val="center"/>
        </w:trPr>
        <w:tc>
          <w:tcPr>
            <w:tcW w:w="10080" w:type="dxa"/>
            <w:tcBorders>
              <w:top w:val="single" w:color="A9D18E" w:sz="8" w:space="0"/>
              <w:left w:val="single" w:color="A9D18E" w:sz="8" w:space="0"/>
              <w:bottom w:val="single" w:color="A9D18E" w:sz="8" w:space="0"/>
              <w:right w:val="single" w:color="A9D18E" w:sz="8" w:space="0"/>
            </w:tcBorders>
            <w:shd w:val="clear" w:color="auto" w:fill="E2F0D9"/>
            <w:vAlign w:val="center"/>
          </w:tcPr>
          <w:p w14:paraId="3BB2CBC2">
            <w:pPr>
              <w:spacing w:before="80" w:after="80"/>
              <w:rPr>
                <w:rFonts w:hint="default" w:ascii="Times New Roman" w:hAnsi="Times New Roman" w:cs="Times New Roman"/>
              </w:rPr>
            </w:pPr>
            <w:r>
              <w:rPr>
                <w:rFonts w:hint="default" w:ascii="Times New Roman" w:hAnsi="Times New Roman" w:eastAsia="Times New Roman" w:cs="Times New Roman"/>
                <w:b/>
                <w:color w:val="375623"/>
                <w:sz w:val="23"/>
              </w:rPr>
              <w:t>Câu hỏi</w:t>
            </w:r>
          </w:p>
          <w:p w14:paraId="2D9364C7">
            <w:pPr>
              <w:spacing w:after="60"/>
              <w:jc w:val="both"/>
              <w:rPr>
                <w:rFonts w:hint="default" w:ascii="Times New Roman" w:hAnsi="Times New Roman" w:cs="Times New Roman"/>
              </w:rPr>
            </w:pPr>
            <w:r>
              <w:rPr>
                <w:rFonts w:hint="default" w:ascii="Times New Roman" w:hAnsi="Times New Roman" w:eastAsia="Times New Roman" w:cs="Times New Roman"/>
                <w:sz w:val="22"/>
              </w:rPr>
              <w:t>Một startup phát triển ứng dụng y tế cho phép bác sĩ khám bệnh từ xa và kê đơn thuốc. Startup cho rằng mình chỉ cung cấp nền tảng công nghệ kết nối, không phải hành nghề y. Bộ Y tế yêu cầu startup phải có giấy phép hoạt động y tế. Startup phản bác bằng Điều 3 Luật CNTT, lập luận rằng Luật CNTT được ưu tiên áp dụng. Xác định: lập luận của startup có đúng về nguyên tắc ưu tiên áp dụng luật không và tại sao; startup phải tuân thủ đồng thời những quy định nào của Luật CNTT và luật chuyên ngành; và ai có thẩm quyền cấp phép và quản lý hoạt động này.</w:t>
            </w:r>
          </w:p>
        </w:tc>
      </w:tr>
    </w:tbl>
    <w:p w14:paraId="49CF1F14">
      <w:pPr>
        <w:spacing w:before="160" w:after="80"/>
        <w:rPr>
          <w:rFonts w:hint="default" w:ascii="Times New Roman" w:hAnsi="Times New Roman" w:cs="Times New Roman"/>
        </w:rPr>
      </w:pPr>
      <w:r>
        <w:rPr>
          <w:rFonts w:hint="default" w:ascii="Times New Roman" w:hAnsi="Times New Roman" w:eastAsia="Times New Roman" w:cs="Times New Roman"/>
          <w:b/>
          <w:color w:val="1F4E79"/>
          <w:sz w:val="26"/>
        </w:rPr>
        <w:t>Câu trả lời</w:t>
      </w:r>
    </w:p>
    <w:p w14:paraId="341620FA">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1. Về lập luận ưu tiên áp dụng Luật Công nghệ thông tin</w:t>
      </w:r>
    </w:p>
    <w:p w14:paraId="2F36D8A6">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Lập luận của startup không đúng.</w:t>
      </w:r>
    </w:p>
    <w:p w14:paraId="132D13C7">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Căn cứ: [Luật Công nghệ thông tin (văn bản hợp nhất 2025)] Điều 3, Khoản 1 quy định: "Trường hợp có sự khác nhau giữa quy định của Luật Công nghệ thông tin với quy định của luật khác về cùng một vấn đề liên quan đến hoạt động ứng dụng và phát triển công nghệ thông tin thì áp dụng quy định của Luật Công nghệ thông tin."</w:t>
      </w:r>
    </w:p>
    <w:p w14:paraId="57E3E78A">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Phân tích: Điều 3 Khoản 1 chỉ áp dụng khi có sự khác nhau về "hoạt động ứng dụng và phát triển công nghệ thông tin". Tuy nhiên, đối với hoạt động y tế trên môi trường mạng, [Luật Công nghệ thông tin (văn bản hợp nhất 2025)] Điều 35, Khoản 2 quy định bắt buộc: "Tổ chức, cá nhân tiến hành hoạt động y tế trên môi trường mạng phải tuân thủ quy định của Luật này, pháp luật về y, dược".</w:t>
      </w:r>
    </w:p>
    <w:p w14:paraId="7F70E480">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Kết luận: Quy định tại Điều 35 tạo ra nghĩa vụ tuân thủ song song (cumulative obligation), không cho phép loại trừ luật chuyên ngành y tế dựa trên nguyên tắc ưu tiên tại Điều 3.</w:t>
      </w:r>
    </w:p>
    <w:p w14:paraId="3EA59A7C">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2. Về nghĩa vụ tuân thủ</w:t>
      </w:r>
    </w:p>
    <w:p w14:paraId="5A295F80">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Startup phải tuân thủ đồng thời hai nhóm quy định:</w:t>
      </w:r>
    </w:p>
    <w:p w14:paraId="4142FD7A">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Nhóm 1: Quy định của [Luật Công nghệ thông tin (văn bản hợp nhất 2025)].</w:t>
      </w:r>
    </w:p>
    <w:p w14:paraId="379E6934">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Nhóm 2: Pháp luật về y, dược.</w:t>
      </w:r>
    </w:p>
    <w:p w14:paraId="60CA54DE">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Căn cứ: [Luật Công nghệ thông tin (văn bản hợp nhất 2025)] Điều 35, Khoản 2: "Tổ chức, cá nhân tiến hành hoạt động y tế trên môi trường mạng phải tuân thủ quy định của Luật này, pháp luật về y, dược".</w:t>
      </w:r>
    </w:p>
    <w:p w14:paraId="427411EE">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3. Về thẩm quyền cấp phép và quản lý</w:t>
      </w:r>
    </w:p>
    <w:p w14:paraId="66E962B6">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Cơ quan có thẩm quyền: Bộ Y tế.</w:t>
      </w:r>
    </w:p>
    <w:p w14:paraId="3D2F478F">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Nhiệm vụ: Quy định cụ thể điều kiện hoạt động y tế trên môi trường mạng.</w:t>
      </w:r>
    </w:p>
    <w:p w14:paraId="71988DD8">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Căn cứ: [Luật Công nghệ thông tin (văn bản hợp nhất 2025)] Điều 35, Khoản 3: "Bộ Y tế quy định cụ thể điều kiện hoạt động y tế trên môi trường mạng".</w:t>
      </w:r>
    </w:p>
    <w:p w14:paraId="7F91491F">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Lưu ý: Dù startup cho rằng mình chỉ cung cấp nền tảng, nếu hoạt động này được xem là "tiến hành hoạt động y tế trên môi trường mạng" theo Điều 35, thì Bộ Y tế là cơ quan quy định điều kiện và quản lý.</w:t>
      </w:r>
    </w:p>
    <w:p w14:paraId="022B0212">
      <w:pPr>
        <w:rPr>
          <w:rFonts w:hint="default" w:ascii="Times New Roman" w:hAnsi="Times New Roman" w:cs="Times New Roman"/>
        </w:rPr>
      </w:pPr>
      <w:r>
        <w:rPr>
          <w:rFonts w:hint="default" w:ascii="Times New Roman" w:hAnsi="Times New Roman" w:cs="Times New Roman"/>
        </w:rPr>
        <w:br w:type="page"/>
      </w:r>
    </w:p>
    <w:p w14:paraId="4AB37E1E">
      <w:pPr>
        <w:pStyle w:val="2"/>
        <w:spacing w:before="160" w:after="120"/>
        <w:rPr>
          <w:rFonts w:hint="default" w:ascii="Times New Roman" w:hAnsi="Times New Roman" w:cs="Times New Roman"/>
        </w:rPr>
      </w:pPr>
      <w:r>
        <w:rPr>
          <w:rFonts w:hint="default" w:ascii="Times New Roman" w:hAnsi="Times New Roman" w:eastAsia="Times New Roman" w:cs="Times New Roman"/>
          <w:b/>
          <w:color w:val="548235"/>
          <w:sz w:val="32"/>
        </w:rPr>
        <w:t>Câu 4</w:t>
      </w:r>
    </w:p>
    <w:tbl>
      <w:tblPr>
        <w:tblStyle w:val="12"/>
        <w:tblW w:w="0" w:type="auto"/>
        <w:jc w:val="center"/>
        <w:tblLayout w:type="autofit"/>
        <w:tblCellMar>
          <w:top w:w="0" w:type="dxa"/>
          <w:left w:w="108" w:type="dxa"/>
          <w:bottom w:w="0" w:type="dxa"/>
          <w:right w:w="108" w:type="dxa"/>
        </w:tblCellMar>
      </w:tblPr>
      <w:tblGrid>
        <w:gridCol w:w="10080"/>
      </w:tblGrid>
      <w:tr w14:paraId="73FF1C77">
        <w:tblPrEx>
          <w:tblCellMar>
            <w:top w:w="0" w:type="dxa"/>
            <w:left w:w="108" w:type="dxa"/>
            <w:bottom w:w="0" w:type="dxa"/>
            <w:right w:w="108" w:type="dxa"/>
          </w:tblCellMar>
        </w:tblPrEx>
        <w:trPr>
          <w:jc w:val="center"/>
        </w:trPr>
        <w:tc>
          <w:tcPr>
            <w:tcW w:w="10080" w:type="dxa"/>
            <w:tcBorders>
              <w:top w:val="single" w:color="A9D18E" w:sz="8" w:space="0"/>
              <w:left w:val="single" w:color="A9D18E" w:sz="8" w:space="0"/>
              <w:bottom w:val="single" w:color="A9D18E" w:sz="8" w:space="0"/>
              <w:right w:val="single" w:color="A9D18E" w:sz="8" w:space="0"/>
            </w:tcBorders>
            <w:shd w:val="clear" w:color="auto" w:fill="E2F0D9"/>
            <w:vAlign w:val="center"/>
          </w:tcPr>
          <w:p w14:paraId="41813902">
            <w:pPr>
              <w:spacing w:before="80" w:after="80"/>
              <w:rPr>
                <w:rFonts w:hint="default" w:ascii="Times New Roman" w:hAnsi="Times New Roman" w:cs="Times New Roman"/>
              </w:rPr>
            </w:pPr>
            <w:r>
              <w:rPr>
                <w:rFonts w:hint="default" w:ascii="Times New Roman" w:hAnsi="Times New Roman" w:eastAsia="Times New Roman" w:cs="Times New Roman"/>
                <w:b/>
                <w:color w:val="375623"/>
                <w:sz w:val="23"/>
              </w:rPr>
              <w:t>Câu hỏi</w:t>
            </w:r>
          </w:p>
          <w:p w14:paraId="143982D5">
            <w:pPr>
              <w:spacing w:after="60"/>
              <w:jc w:val="both"/>
              <w:rPr>
                <w:rFonts w:hint="default" w:ascii="Times New Roman" w:hAnsi="Times New Roman" w:cs="Times New Roman"/>
              </w:rPr>
            </w:pPr>
            <w:r>
              <w:rPr>
                <w:rFonts w:hint="default" w:ascii="Times New Roman" w:hAnsi="Times New Roman" w:eastAsia="Times New Roman" w:cs="Times New Roman"/>
                <w:sz w:val="22"/>
              </w:rPr>
              <w:t>Một công ty phần mềm ký hợp đồng cung cấp hệ thống quản lý cho một bệnh viện. Sau triển khai, bệnh viện phát hiện trong phần mềm có module thu thập và gửi dữ liệu bệnh nhân về máy chủ của công ty mà không được khai báo trong hợp đồng. Công ty lập luận đây là "dữ liệu ẩn danh" dùng để cải tiến sản phẩm và không vi phạm gì. Xác định: hành vi này vi phạm quy định nào cụ thể của Luật CNTT về trách nhiệm tổ chức phát triển CNTT; "ẩn danh hóa" có tự động loại trừ vi phạm không; và bệnh viện với tư cách chủ quản hệ thống có thể bị liên đới trách nhiệm gì.</w:t>
            </w:r>
          </w:p>
        </w:tc>
      </w:tr>
    </w:tbl>
    <w:p w14:paraId="26F41963">
      <w:pPr>
        <w:spacing w:before="160" w:after="80"/>
        <w:rPr>
          <w:rFonts w:hint="default" w:ascii="Times New Roman" w:hAnsi="Times New Roman" w:cs="Times New Roman"/>
        </w:rPr>
      </w:pPr>
      <w:r>
        <w:rPr>
          <w:rFonts w:hint="default" w:ascii="Times New Roman" w:hAnsi="Times New Roman" w:eastAsia="Times New Roman" w:cs="Times New Roman"/>
          <w:b/>
          <w:color w:val="1F4E79"/>
          <w:sz w:val="26"/>
        </w:rPr>
        <w:t>Câu trả lời</w:t>
      </w:r>
    </w:p>
    <w:p w14:paraId="7433A349">
      <w:pPr>
        <w:spacing w:before="160" w:after="60"/>
        <w:rPr>
          <w:rFonts w:hint="default" w:ascii="Times New Roman" w:hAnsi="Times New Roman" w:cs="Times New Roman"/>
        </w:rPr>
      </w:pPr>
      <w:r>
        <w:rPr>
          <w:rFonts w:hint="default" w:ascii="Times New Roman" w:hAnsi="Times New Roman" w:eastAsia="Times New Roman" w:cs="Times New Roman"/>
          <w:b/>
          <w:color w:val="548235"/>
          <w:sz w:val="24"/>
        </w:rPr>
        <w:t>TRẠNG THÁI: B — LUẬT CÓ QUY ĐỊNH + CÓ KHOẢNG TRỐNG</w:t>
      </w:r>
    </w:p>
    <w:p w14:paraId="64078CDF">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quy định trách nhiệm chung về bảo mật và an ninh mạng, nhưng KHÔNG nêu quy định cụ thể về "dữ liệu ẩn danh" hay "đồng ý thu thập dữ liệu" trong các văn bản được cung cấp.</w:t>
      </w:r>
    </w:p>
    <w:p w14:paraId="46A33D52">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1. Căn cứ pháp lý có sẵn (Nguyên tắc chung)</w:t>
      </w:r>
    </w:p>
    <w:p w14:paraId="6DF4FB21">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Tổng hợp hai luật: [Luật Công nghệ thông tin (văn bản hợp nhất 2025)] Điều 9 quy định trách nhiệm của tổ chức phát triển và ứng dụng công nghệ thông tin; [Luật An ninh mạng 2025] Điều 18 quy định trách nhiệm của chủ quản hệ thống thông tin.</w:t>
      </w:r>
    </w:p>
    <w:p w14:paraId="53F5CE1F">
      <w:pPr>
        <w:spacing w:after="60"/>
        <w:rPr>
          <w:rFonts w:hint="default" w:ascii="Times New Roman" w:hAnsi="Times New Roman" w:cs="Times New Roman"/>
        </w:rPr>
      </w:pPr>
      <w:r>
        <w:rPr>
          <w:rFonts w:hint="default" w:ascii="Times New Roman" w:hAnsi="Times New Roman" w:eastAsia="Times New Roman" w:cs="Times New Roman"/>
          <w:i/>
          <w:color w:val="404040"/>
          <w:sz w:val="21"/>
        </w:rPr>
        <w:t>[Luật Công nghệ thông tin (văn bản hợp nhất 2025)] Điều 9. Trách nhiệm của tổ chức, cá nhân tham gia hoạt động ứng dụng và phát triển công nghệ thông tin — Khoản 3:</w:t>
      </w:r>
    </w:p>
    <w:p w14:paraId="091B1336">
      <w:pPr>
        <w:spacing w:after="60"/>
        <w:ind w:left="360" w:right="216"/>
        <w:rPr>
          <w:rFonts w:hint="default" w:ascii="Times New Roman" w:hAnsi="Times New Roman" w:cs="Times New Roman"/>
        </w:rPr>
      </w:pPr>
      <w:r>
        <w:rPr>
          <w:rFonts w:hint="default" w:ascii="Times New Roman" w:hAnsi="Times New Roman" w:eastAsia="Times New Roman" w:cs="Times New Roman"/>
          <w:i/>
          <w:color w:val="404040"/>
          <w:sz w:val="21"/>
        </w:rPr>
        <w:t>"Tổ chức, cá nhân tham gia phát triển công nghệ thông tin có trách nhiệm sau đây: a) Bảo đảm tính trung thực, toàn vẹn, bảo mật..."</w:t>
      </w:r>
    </w:p>
    <w:p w14:paraId="453A12B8">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[Luật An ninh mạng 2025] Điều 18. Phòng, chống tấn công mạng — Khoản 2:</w:t>
      </w:r>
    </w:p>
    <w:p w14:paraId="6FDAAF80">
      <w:pPr>
        <w:spacing w:after="60"/>
        <w:ind w:left="360" w:right="216"/>
        <w:rPr>
          <w:rFonts w:hint="default" w:ascii="Times New Roman" w:hAnsi="Times New Roman" w:cs="Times New Roman"/>
        </w:rPr>
      </w:pPr>
      <w:r>
        <w:rPr>
          <w:rFonts w:hint="default" w:ascii="Times New Roman" w:hAnsi="Times New Roman" w:eastAsia="Times New Roman" w:cs="Times New Roman"/>
          <w:i/>
          <w:color w:val="404040"/>
          <w:sz w:val="21"/>
        </w:rPr>
        <w:t>"Chủ quản hệ thống thông tin có trách nhiệm áp dụng biện pháp kỹ thuật để phòng ngừa, ngăn chặn hành vi quy định tại các điểm a, b, c, d và e khoản 1 Điều này đối với hệ thống thông tin thuộc phạm vi quản lý."</w:t>
      </w:r>
    </w:p>
    <w:p w14:paraId="068191C8">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[Luật An ninh mạng 2025] Điều 41. Trách nhiệm của doanh nghiệp cung cấp dịch vụ trên không gian mạng — Khoản 4:</w:t>
      </w:r>
    </w:p>
    <w:p w14:paraId="6A0AE63A">
      <w:pPr>
        <w:spacing w:after="60"/>
        <w:ind w:left="360" w:right="216"/>
        <w:rPr>
          <w:rFonts w:hint="default" w:ascii="Times New Roman" w:hAnsi="Times New Roman" w:cs="Times New Roman"/>
        </w:rPr>
      </w:pPr>
      <w:r>
        <w:rPr>
          <w:rFonts w:hint="default" w:ascii="Times New Roman" w:hAnsi="Times New Roman" w:eastAsia="Times New Roman" w:cs="Times New Roman"/>
          <w:i/>
          <w:color w:val="404040"/>
          <w:sz w:val="21"/>
        </w:rPr>
        <w:t>"Áp dụng các biện pháp, giải pháp kỹ thuật để bảo đảm an ninh mạng cho hoạt động xử lý dữ liệu, xử lý dữ liệu cá nhân..."</w:t>
      </w:r>
    </w:p>
    <w:p w14:paraId="759B901F">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2. Phân tích khoảng trống (Suy luận bù)</w:t>
      </w:r>
    </w:p>
    <w:p w14:paraId="6FAF8240">
      <w:pPr>
        <w:spacing w:before="160" w:after="60"/>
        <w:rPr>
          <w:rFonts w:hint="default" w:ascii="Times New Roman" w:hAnsi="Times New Roman" w:cs="Times New Roman"/>
        </w:rPr>
      </w:pPr>
      <w:r>
        <w:rPr>
          <w:rFonts w:hint="default" w:ascii="Times New Roman" w:hAnsi="Times New Roman" w:eastAsia="Times New Roman" w:cs="Times New Roman"/>
          <w:b/>
          <w:color w:val="548235"/>
          <w:sz w:val="24"/>
        </w:rPr>
        <w:t>BƯỚC 1 — XÁC ĐỊNH NGUYÊN TẮC GẦN NHẤT:</w:t>
      </w:r>
    </w:p>
    <w:p w14:paraId="011CBBE5">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Nguyên tắc bảo mật &amp; toàn vẹn: Theo [Luật Công nghệ thông tin (văn bản hợp nhất 2025)] Điều 9, tổ chức phát triển phần mềm phải "bảo đảm tính trung thực, toàn vẹn, bảo mật". Việc thu thập dữ liệu không được khai báo trong hợp đồng vi phạm nguyên tắc "toàn vẹn" (scope of agreement) và "bảo mật" (privacy).</w:t>
      </w:r>
    </w:p>
    <w:p w14:paraId="1A19130D">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Trách nhiệm quản lý: Theo [Luật An ninh mạng 2025] Điều 18, chủ quản hệ thống (bệnh viện) có trách nhiệm "áp dụng biện pháp kỹ thuật để phòng ngừa, ngăn chặn". Nếu bệnh viện không kiểm soát được module thu thập dữ liệu của nhà cung cấp, họ có thể bị xem là thiếu biện pháp phòng ngừa.</w:t>
      </w:r>
    </w:p>
    <w:p w14:paraId="1833EF2D">
      <w:pPr>
        <w:spacing w:before="160" w:after="60"/>
        <w:rPr>
          <w:rFonts w:hint="default" w:ascii="Times New Roman" w:hAnsi="Times New Roman" w:cs="Times New Roman"/>
        </w:rPr>
      </w:pPr>
      <w:r>
        <w:rPr>
          <w:rFonts w:hint="default" w:ascii="Times New Roman" w:hAnsi="Times New Roman" w:eastAsia="Times New Roman" w:cs="Times New Roman"/>
          <w:b/>
          <w:color w:val="548235"/>
          <w:sz w:val="24"/>
        </w:rPr>
        <w:t>BƯỚC 2 — PHÂN CÔNG TRÁCH NHIỆM:</w:t>
      </w:r>
    </w:p>
    <w:p w14:paraId="1DF3112B">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Công ty phần mềm: Là "tổ chức phát triển công nghệ thông tin" ([Luật CNTT] Điều 9). Chịu trách nhiệm về tính hợp pháp của sản phẩm. Việc thu thập dữ liệu không đúng mục đích/hợp đồng là vi phạm nguyên tắc bảo mật và toàn vẹn.</w:t>
      </w:r>
    </w:p>
    <w:p w14:paraId="05E3F637">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Bệnh viện (Chủ quản): Là "chủ quản hệ thống thông tin" ([Luật An ninh mạng] Điều 18). Có nghĩa vụ giám sát hệ thống. Nếu không phát hiện hoặc không ngăn chặn module thu thập dữ liệu trái phép, có thể bị coi là thiếu trách nhiệm quản lý.</w:t>
      </w:r>
    </w:p>
    <w:p w14:paraId="5406B5AC">
      <w:pPr>
        <w:spacing w:before="160" w:after="60"/>
        <w:rPr>
          <w:rFonts w:hint="default" w:ascii="Times New Roman" w:hAnsi="Times New Roman" w:cs="Times New Roman"/>
        </w:rPr>
      </w:pPr>
      <w:r>
        <w:rPr>
          <w:rFonts w:hint="default" w:ascii="Times New Roman" w:hAnsi="Times New Roman" w:eastAsia="Times New Roman" w:cs="Times New Roman"/>
          <w:b/>
          <w:color w:val="548235"/>
          <w:sz w:val="24"/>
        </w:rPr>
        <w:t>BƯỚC 3 — MỨC ĐỘ CHẮC CHẮN:</w:t>
      </w:r>
    </w:p>
    <w:p w14:paraId="3A1A3D61">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Về "dữ liệu ẩn danh": Văn bản được cung cấp KHÔNG định nghĩa "dữ liệu ẩn danh" và KHÔNG quy định việc ẩn danh có loại trừ trách nhiệm hay không.</w:t>
      </w:r>
    </w:p>
    <w:p w14:paraId="3E29B394">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Về "vi phạm": Hành vi thu thập dữ liệu không được đồng ý/khai báo vi phạm nguyên tắc bảo mật và toàn vẹn thông tin, bất kể dữ liệu có được ẩn danh hay không (trừ khi pháp luật chuyên ngành khác quy định rõ).</w:t>
      </w:r>
    </w:p>
    <w:p w14:paraId="32801A93">
      <w:pPr>
        <w:spacing w:before="160" w:after="60"/>
        <w:rPr>
          <w:rFonts w:hint="default" w:ascii="Times New Roman" w:hAnsi="Times New Roman" w:cs="Times New Roman"/>
        </w:rPr>
      </w:pPr>
      <w:r>
        <w:rPr>
          <w:rFonts w:hint="default" w:ascii="Times New Roman" w:hAnsi="Times New Roman" w:eastAsia="Times New Roman" w:cs="Times New Roman"/>
          <w:b/>
          <w:color w:val="548235"/>
          <w:sz w:val="24"/>
        </w:rPr>
        <w:t>KẾT LUẬN:</w:t>
      </w:r>
    </w:p>
    <w:p w14:paraId="139E0833">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Đây là khoảng trống thực sự trong phạm vi văn bản được cung cấp về quy định chi tiết "ẩn danh hóa" và "đồng ý thu thập".</w:t>
      </w:r>
    </w:p>
    <w:p w14:paraId="6F727950">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Hành vi: Vi phạm nguyên tắc bảo mật và toàn vẹn thông tin theo [Luật Công nghệ thông tin (văn bản hợp nhất 2025)] Điều 9.</w:t>
      </w:r>
    </w:p>
    <w:p w14:paraId="32C6F3F8">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Ẩn danh: Không tự động loại trừ vi phạm vì văn bản không quy định tiêu chí miễn trừ.</w:t>
      </w:r>
    </w:p>
    <w:p w14:paraId="11272E66">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Trách nhiệm: Công ty chịu trách nhiệm phát triển sản phẩm; Bệnh viện chịu trách nhiệm quản lý hệ thống theo [Luật An ninh mạng 2025] Điều 18.</w:t>
      </w:r>
    </w:p>
    <w:p w14:paraId="3B997320">
      <w:pPr>
        <w:spacing w:after="60"/>
        <w:ind w:firstLine="259"/>
        <w:jc w:val="both"/>
        <w:rPr>
          <w:rFonts w:hint="default" w:ascii="Times New Roman" w:hAnsi="Times New Roman" w:eastAsia="Times New Roman" w:cs="Times New Roman"/>
          <w:sz w:val="22"/>
        </w:rPr>
      </w:pPr>
      <w:r>
        <w:rPr>
          <w:rFonts w:hint="default" w:ascii="Times New Roman" w:hAnsi="Times New Roman" w:eastAsia="Times New Roman" w:cs="Times New Roman"/>
          <w:sz w:val="22"/>
        </w:rPr>
        <w:t>Mức độ: Suy luận từ nguyên tắc bảo mật và quản lý hệ thống — luật chưa quy định tường minh về "ẩn danh hóa".</w:t>
      </w:r>
    </w:p>
    <w:p w14:paraId="7D8346B7">
      <w:pPr>
        <w:spacing w:after="60"/>
        <w:ind w:firstLine="259"/>
        <w:jc w:val="both"/>
        <w:rPr>
          <w:rFonts w:hint="default" w:ascii="Times New Roman" w:hAnsi="Times New Roman" w:eastAsia="Times New Roman" w:cs="Times New Roman"/>
          <w:sz w:val="22"/>
        </w:rPr>
      </w:pPr>
    </w:p>
    <w:p w14:paraId="1E500CF5">
      <w:pPr>
        <w:rPr>
          <w:rFonts w:hint="default" w:ascii="Times New Roman" w:hAnsi="Times New Roman" w:cs="Times New Roman"/>
        </w:rPr>
      </w:pPr>
      <w:r>
        <w:rPr>
          <w:rFonts w:hint="default" w:ascii="Times New Roman" w:hAnsi="Times New Roman" w:eastAsia="Times New Roman" w:cs="Times New Roman"/>
          <w:b/>
          <w:color w:val="548235"/>
          <w:sz w:val="32"/>
        </w:rPr>
        <w:t>Câu 5</w:t>
      </w:r>
    </w:p>
    <w:tbl>
      <w:tblPr>
        <w:tblStyle w:val="12"/>
        <w:tblW w:w="0" w:type="auto"/>
        <w:jc w:val="center"/>
        <w:tblLayout w:type="autofit"/>
        <w:tblCellMar>
          <w:top w:w="0" w:type="dxa"/>
          <w:left w:w="108" w:type="dxa"/>
          <w:bottom w:w="0" w:type="dxa"/>
          <w:right w:w="108" w:type="dxa"/>
        </w:tblCellMar>
      </w:tblPr>
      <w:tblGrid>
        <w:gridCol w:w="10080"/>
      </w:tblGrid>
      <w:tr w14:paraId="5DA5B51D">
        <w:tblPrEx>
          <w:tblCellMar>
            <w:top w:w="0" w:type="dxa"/>
            <w:left w:w="108" w:type="dxa"/>
            <w:bottom w:w="0" w:type="dxa"/>
            <w:right w:w="108" w:type="dxa"/>
          </w:tblCellMar>
        </w:tblPrEx>
        <w:trPr>
          <w:jc w:val="center"/>
        </w:trPr>
        <w:tc>
          <w:tcPr>
            <w:tcW w:w="10080" w:type="dxa"/>
            <w:tcBorders>
              <w:top w:val="single" w:color="A9D18E" w:sz="8" w:space="0"/>
              <w:left w:val="single" w:color="A9D18E" w:sz="8" w:space="0"/>
              <w:bottom w:val="single" w:color="A9D18E" w:sz="8" w:space="0"/>
              <w:right w:val="single" w:color="A9D18E" w:sz="8" w:space="0"/>
            </w:tcBorders>
            <w:shd w:val="clear" w:color="auto" w:fill="E2F0D9"/>
            <w:vAlign w:val="center"/>
          </w:tcPr>
          <w:p w14:paraId="2EAFC1E0">
            <w:pPr>
              <w:spacing w:before="80" w:after="80"/>
              <w:rPr>
                <w:rFonts w:hint="default" w:ascii="Times New Roman" w:hAnsi="Times New Roman" w:cs="Times New Roman"/>
              </w:rPr>
            </w:pPr>
            <w:r>
              <w:rPr>
                <w:rFonts w:hint="default" w:ascii="Times New Roman" w:hAnsi="Times New Roman" w:eastAsia="Times New Roman" w:cs="Times New Roman"/>
                <w:b/>
                <w:color w:val="375623"/>
                <w:sz w:val="23"/>
              </w:rPr>
              <w:t>Câu hỏi</w:t>
            </w:r>
          </w:p>
          <w:p w14:paraId="312C81E9">
            <w:pPr>
              <w:spacing w:after="60"/>
              <w:jc w:val="both"/>
              <w:rPr>
                <w:rFonts w:hint="default" w:ascii="Times New Roman" w:hAnsi="Times New Roman" w:cs="Times New Roman"/>
              </w:rPr>
            </w:pPr>
            <w:r>
              <w:rPr>
                <w:rFonts w:hint="default" w:ascii="Times New Roman" w:hAnsi="Times New Roman" w:eastAsia="Times New Roman" w:cs="Times New Roman"/>
                <w:sz w:val="22"/>
              </w:rPr>
              <w:t>Một cá nhân đặt mua hàng trên website bán lẻ, nhập nhầm số lượng từ 1 thành 100 do giao diện không có bước xác nhận lại. Website xử lý đơn và giao hàng ngay. Cá nhân từ chối nhận và yêu cầu hủy đơn. Website từ chối vì điều khoản dịch vụ quy định "đơn hàng đã xử lý không được hủy". Xác định: website vi phạm nghĩa vụ kỹ thuật nào theo Luật CNTT dẫn đến tình huống này; quyền đơn phương hủy hợp đồng của người mua được bảo đảm hay không và điều kiện cụ thể là gì; và điều khoản "không được hủy" trong hợp đồng mẫu có hiệu lực không.</w:t>
            </w:r>
          </w:p>
        </w:tc>
      </w:tr>
    </w:tbl>
    <w:p w14:paraId="7FCBE43D">
      <w:pPr>
        <w:spacing w:before="160" w:after="80"/>
        <w:rPr>
          <w:rFonts w:hint="default" w:ascii="Times New Roman" w:hAnsi="Times New Roman" w:cs="Times New Roman"/>
        </w:rPr>
      </w:pPr>
      <w:r>
        <w:rPr>
          <w:rFonts w:hint="default" w:ascii="Times New Roman" w:hAnsi="Times New Roman" w:eastAsia="Times New Roman" w:cs="Times New Roman"/>
          <w:b/>
          <w:color w:val="1F4E79"/>
          <w:sz w:val="26"/>
        </w:rPr>
        <w:t>Câu trả lời</w:t>
      </w:r>
    </w:p>
    <w:p w14:paraId="6AD2FAFA">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1. Nghĩa vụ kỹ thuật của Website</w:t>
      </w:r>
    </w:p>
    <w:p w14:paraId="1E12ECB6">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Trạng thái: B (Có quy định về hậu quả, nhưng thiếu quy định về nghĩa vụ kỹ thuật phòng ngừa cụ thể).</w:t>
      </w:r>
    </w:p>
    <w:p w14:paraId="61CD27D8">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Căn cứ:</w:t>
      </w:r>
    </w:p>
    <w:p w14:paraId="21C5A877">
      <w:pPr>
        <w:spacing w:after="60"/>
        <w:rPr>
          <w:rFonts w:hint="default" w:ascii="Times New Roman" w:hAnsi="Times New Roman" w:cs="Times New Roman"/>
        </w:rPr>
      </w:pPr>
      <w:r>
        <w:rPr>
          <w:rFonts w:hint="default" w:ascii="Times New Roman" w:hAnsi="Times New Roman" w:eastAsia="Times New Roman" w:cs="Times New Roman"/>
          <w:i/>
          <w:color w:val="404040"/>
          <w:sz w:val="21"/>
        </w:rPr>
        <w:t>[Luật Công nghệ thông tin (văn bản hợp nhất 2025)] Điều 32. Giải quyết hậu quả do lỗi nhập sai thông tin thương mại trên môi trường mạng — Khoản 1, Khoản 2.</w:t>
      </w:r>
    </w:p>
    <w:p w14:paraId="18249E06">
      <w:pPr>
        <w:spacing w:after="60"/>
        <w:ind w:left="360" w:right="216"/>
        <w:rPr>
          <w:rFonts w:hint="default" w:ascii="Times New Roman" w:hAnsi="Times New Roman" w:cs="Times New Roman"/>
        </w:rPr>
      </w:pPr>
      <w:r>
        <w:rPr>
          <w:rFonts w:hint="default" w:ascii="Times New Roman" w:hAnsi="Times New Roman" w:eastAsia="Times New Roman" w:cs="Times New Roman"/>
          <w:i/>
          <w:color w:val="404040"/>
          <w:sz w:val="21"/>
        </w:rPr>
        <w:t>"1. Thông báo kịp thời cho người bán biết về thông tin nhập sai của mình và người bán cũng đã xác nhận việc nhận được thông báo đó;</w:t>
      </w:r>
    </w:p>
    <w:p w14:paraId="32228018">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2. Trả lại hàng hóa đã nhận nhưng chưa sử dụng hoặc hưởng bất kỳ lợi ích nào từ hàng hóa đó."</w:t>
      </w:r>
    </w:p>
    <w:p w14:paraId="508A6774">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Phân tích:</w:t>
      </w:r>
    </w:p>
    <w:p w14:paraId="53E40B64">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quy định cơ chế giải quyết hậu quả khi xảy ra lỗi nhập sai (thông báo, trả lại hàng), nhưng KHÔNG nêu nghĩa vụ kỹ thuật bắt buộc Website phải có "bước xác nhận lại" (confirmation step) để ngăn chặn lỗi trước khi xử lý đơn.</w:t>
      </w:r>
    </w:p>
    <w:p w14:paraId="1129CFF4">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Suy luận bù khoảng trống:</w:t>
      </w:r>
    </w:p>
    <w:p w14:paraId="7DF327C6">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Nguyên tắc áp dụng: Theo nguyên tắc quản lý thống nhất và bảo đảm an toàn hệ thống thông tin, tổ chức, cá nhân quản lý, khai thác cơ sở hạ tầng thông tin có trách nhiệm bảo đảm an toàn (Điều 60). Tuy nhiên, Luật CNTT 2025 không quy định chi tiết tiêu chuẩn kỹ thuật UI/UX cụ thể cho giao dịch thương mại.</w:t>
      </w:r>
    </w:p>
    <w:p w14:paraId="192BF3D7">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Phân công trách nhiệm: Website (chủ quản hệ thống) có nghĩa vụ phối hợp xử lý sự cố (Điều 60), nhưng việc thiếu bước xác nhận là lỗi thiết kế hệ thống. Nhà nước có thẩm quyền yêu cầu xử lý sự cố, doanh nghiệp phải phối hợp.</w:t>
      </w:r>
    </w:p>
    <w:p w14:paraId="61793CE7">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Mức độ chắc chắn: Đây là suy luận từ nguyên tắc bảo đảm an toàn hệ thống — luật chưa quy định tường minh nghĩa vụ kỹ thuật cụ thể về bước xác nhận lại.</w:t>
      </w:r>
    </w:p>
    <w:p w14:paraId="5A166CE0">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2. Quyền đơn phương hủy hợp đồng của người mua</w:t>
      </w:r>
    </w:p>
    <w:p w14:paraId="7C77B2D1">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Trạng thái: A (Rõ ràng về cơ chế giải quyết, nhưng không dùng từ "hủy hợp đồng").</w:t>
      </w:r>
    </w:p>
    <w:p w14:paraId="00807F64">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Căn cứ:</w:t>
      </w:r>
    </w:p>
    <w:p w14:paraId="7C060062">
      <w:pPr>
        <w:spacing w:after="60"/>
        <w:rPr>
          <w:rFonts w:hint="default" w:ascii="Times New Roman" w:hAnsi="Times New Roman" w:cs="Times New Roman"/>
        </w:rPr>
      </w:pPr>
      <w:r>
        <w:rPr>
          <w:rFonts w:hint="default" w:ascii="Times New Roman" w:hAnsi="Times New Roman" w:eastAsia="Times New Roman" w:cs="Times New Roman"/>
          <w:i/>
          <w:color w:val="404040"/>
          <w:sz w:val="21"/>
        </w:rPr>
        <w:t>[Luật Công nghệ thông tin (văn bản hợp nhất 2025)] Điều 32. Giải quyết hậu quả do lỗi nhập sai thông tin thương mại trên môi trường mạng — Khoản 1, Khoản 2.</w:t>
      </w:r>
    </w:p>
    <w:p w14:paraId="66514D0E">
      <w:pPr>
        <w:spacing w:after="60"/>
        <w:ind w:left="360" w:right="216"/>
        <w:rPr>
          <w:rFonts w:hint="default" w:ascii="Times New Roman" w:hAnsi="Times New Roman" w:cs="Times New Roman"/>
        </w:rPr>
      </w:pPr>
      <w:r>
        <w:rPr>
          <w:rFonts w:hint="default" w:ascii="Times New Roman" w:hAnsi="Times New Roman" w:eastAsia="Times New Roman" w:cs="Times New Roman"/>
          <w:i/>
          <w:color w:val="404040"/>
          <w:sz w:val="21"/>
        </w:rPr>
        <w:t>"1. Thông báo kịp thời cho người bán biết về thông tin nhập sai của mình và người bán cũng đã xác nhận việc nhận được thông báo đó;</w:t>
      </w:r>
    </w:p>
    <w:p w14:paraId="26140F23">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2. Trả lại hàng hóa đã nhận nhưng chưa sử dụng hoặc hưởng bất kỳ lợi ích nào từ hàng hóa đó."</w:t>
      </w:r>
    </w:p>
    <w:p w14:paraId="4CE8F1D4">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Phân tích:</w:t>
      </w:r>
    </w:p>
    <w:p w14:paraId="57753868">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không dùng thuật ngữ "quyền hủy hợp đồng", nhưng quy định cơ chế sửa chữa lỗi (thông báo nhập sai + trả lại hàng). Điều này cho phép người mua thực hiện hành vi từ chối nhận hàng và hoàn trả để khôi phục trạng thái trước giao dịch.</w:t>
      </w:r>
    </w:p>
    <w:p w14:paraId="1B030670">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Suy luận bù khoảng trống:</w:t>
      </w:r>
    </w:p>
    <w:p w14:paraId="5954B6D6">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Nguyên tắc áp dụng: Cơ chế tại Điều 32 là cơ chế đặc thù cho lỗi nhập sai, ưu tiên hơn điều khoản chung trong hợp đồng.</w:t>
      </w:r>
    </w:p>
    <w:p w14:paraId="6F6728E3">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Phân công trách nhiệm: Người mua có quyền khởi xướng (thông báo), Website có nghĩa vụ phối hợp (xác nhận, chấp nhận trả lại hàng).</w:t>
      </w:r>
    </w:p>
    <w:p w14:paraId="54D13E14">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Mức độ chắc chắn: Đây là quy định tường minh về cơ chế xử lý lỗi — tương đương quyền sửa đổi/hủy bỏ giao dịch sai.</w:t>
      </w:r>
    </w:p>
    <w:p w14:paraId="33E777D9">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3. Hiệu lực của điều khoản "đơn hàng đã xử lý không được hủy"</w:t>
      </w:r>
    </w:p>
    <w:p w14:paraId="441A6A7D">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Trạng thái: B (Luật không quy định cụ thể về hiệu lực điều khoản loại trừ trong bối cảnh này).</w:t>
      </w:r>
    </w:p>
    <w:p w14:paraId="531973E4">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Căn cứ:</w:t>
      </w:r>
    </w:p>
    <w:p w14:paraId="651C4490">
      <w:pPr>
        <w:spacing w:after="60"/>
        <w:rPr>
          <w:rFonts w:hint="default" w:ascii="Times New Roman" w:hAnsi="Times New Roman" w:cs="Times New Roman"/>
        </w:rPr>
      </w:pPr>
      <w:r>
        <w:rPr>
          <w:rFonts w:hint="default" w:ascii="Times New Roman" w:hAnsi="Times New Roman" w:eastAsia="Times New Roman" w:cs="Times New Roman"/>
          <w:i/>
          <w:color w:val="404040"/>
          <w:sz w:val="21"/>
        </w:rPr>
        <w:t>[Luật Công nghệ thông tin (văn bản hợp nhất 2025)] Điều 29. Nguyên tắc ứng dụng công nghệ thông tin trong thương mại — Khoản 2.</w:t>
      </w:r>
    </w:p>
    <w:p w14:paraId="217005C1">
      <w:pPr>
        <w:spacing w:after="60"/>
        <w:ind w:left="360" w:right="216"/>
        <w:rPr>
          <w:rFonts w:hint="default" w:ascii="Times New Roman" w:hAnsi="Times New Roman" w:cs="Times New Roman"/>
        </w:rPr>
      </w:pPr>
      <w:r>
        <w:rPr>
          <w:rFonts w:hint="default" w:ascii="Times New Roman" w:hAnsi="Times New Roman" w:eastAsia="Times New Roman" w:cs="Times New Roman"/>
          <w:i/>
          <w:color w:val="404040"/>
          <w:sz w:val="21"/>
        </w:rPr>
        <w:t>"2. Hoạt động thương mại trên môi trường mạng phải tuân thủ quy định của Luật này, pháp luật về thương mại và pháp luật về giao dịch điện tử."</w:t>
      </w:r>
    </w:p>
    <w:p w14:paraId="253E48EB">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Phân tích:</w:t>
      </w:r>
    </w:p>
    <w:p w14:paraId="2D8A112A">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Văn bản KHÔNG nêu quy định cụ thể về hiệu lực của điều khoản loại trừ quyền hủy hợp đồng trong hợp đồng mẫu (hợp đồng tiêu chuẩn).</w:t>
      </w:r>
    </w:p>
    <w:p w14:paraId="13956F6E">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Suy luận bù khoảng trống:</w:t>
      </w:r>
    </w:p>
    <w:p w14:paraId="11A9295F">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Nguyên tắc áp dụng: Theo nguyên tắc bảo vệ người tiêu dùng và công bằng trong giao dịch điện tử (Điều 29), điều khoản loại trừ quyền sửa sai do lỗi của người dùng (do lỗi hệ thống/giao diện) có thể bị xem là vô hiệu nếu vi phạm nguyên tắc bảo vệ người dùng.</w:t>
      </w:r>
    </w:p>
    <w:p w14:paraId="0F23665B">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Phân công trách nhiệm: Website (doanh nghiệp) có nghĩa vụ tuân thủ pháp luật về thương mại và giao dịch điện tử. Nếu điều khoản này gây bất lợi cho người dùng trong trường hợp lỗi hệ thống, nó có thể bị bác bỏ dựa trên nguyên tắc chung.</w:t>
      </w:r>
    </w:p>
    <w:p w14:paraId="1AF556B2">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Mức độ chắc chắn: Đây là khoảng trống thực sự — cần quy định chi tiết của Chính phủ hoặc áp dụng nguyên tắc chung về hợp đồng tiêu chuẩn.</w:t>
      </w:r>
    </w:p>
    <w:p w14:paraId="4FF4C123">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Tổng hợp</w:t>
      </w:r>
    </w:p>
    <w:p w14:paraId="140F5C80">
      <w:pPr>
        <w:spacing w:after="60"/>
        <w:ind w:firstLine="259"/>
        <w:jc w:val="both"/>
        <w:rPr>
          <w:rFonts w:hint="default" w:ascii="Times New Roman" w:hAnsi="Times New Roman" w:eastAsia="Times New Roman" w:cs="Times New Roman"/>
          <w:sz w:val="22"/>
        </w:rPr>
      </w:pPr>
      <w:r>
        <w:rPr>
          <w:rFonts w:hint="default" w:ascii="Times New Roman" w:hAnsi="Times New Roman" w:eastAsia="Times New Roman" w:cs="Times New Roman"/>
          <w:sz w:val="22"/>
        </w:rPr>
        <w:t>Tổng hợp hai luật: [Luật Công nghệ thông tin (văn bản hợp nhất 2025)] Điều 32 quy định cơ chế giải quyết lỗi nhập sai (thông báo, trả lại hàng); [Luật Công nghệ thông tin (văn bản hợp nhất 2025)] Điều 29 quy định nguyên tắc tuân thủ pháp luật về thương mại — kết hợp xác định: Website có nghĩa vụ phối hợp xử lý lỗi, điều khoản loại trừ quyền sửa sai có thể vô hiệu nếu vi phạm nguyên tắc bảo vệ người dùng, nhưng Luật CNTT chưa quy định chi tiết về hiệu lực điều khoản loại trừ.</w:t>
      </w:r>
    </w:p>
    <w:p w14:paraId="2C118FD4">
      <w:pPr>
        <w:spacing w:after="60"/>
        <w:ind w:firstLine="259"/>
        <w:jc w:val="both"/>
        <w:rPr>
          <w:rFonts w:hint="default" w:ascii="Times New Roman" w:hAnsi="Times New Roman" w:eastAsia="Times New Roman" w:cs="Times New Roman"/>
          <w:sz w:val="22"/>
        </w:rPr>
      </w:pPr>
    </w:p>
    <w:p w14:paraId="0CA8BD53">
      <w:pPr>
        <w:rPr>
          <w:rFonts w:hint="default" w:ascii="Times New Roman" w:hAnsi="Times New Roman" w:cs="Times New Roman"/>
        </w:rPr>
      </w:pPr>
      <w:r>
        <w:rPr>
          <w:rFonts w:hint="default" w:ascii="Times New Roman" w:hAnsi="Times New Roman" w:eastAsia="Times New Roman" w:cs="Times New Roman"/>
          <w:b/>
          <w:color w:val="548235"/>
          <w:sz w:val="32"/>
        </w:rPr>
        <w:t>Câu 6</w:t>
      </w:r>
    </w:p>
    <w:tbl>
      <w:tblPr>
        <w:tblStyle w:val="12"/>
        <w:tblW w:w="0" w:type="auto"/>
        <w:jc w:val="center"/>
        <w:tblLayout w:type="autofit"/>
        <w:tblCellMar>
          <w:top w:w="0" w:type="dxa"/>
          <w:left w:w="108" w:type="dxa"/>
          <w:bottom w:w="0" w:type="dxa"/>
          <w:right w:w="108" w:type="dxa"/>
        </w:tblCellMar>
      </w:tblPr>
      <w:tblGrid>
        <w:gridCol w:w="10080"/>
      </w:tblGrid>
      <w:tr w14:paraId="372FCC19">
        <w:tblPrEx>
          <w:tblCellMar>
            <w:top w:w="0" w:type="dxa"/>
            <w:left w:w="108" w:type="dxa"/>
            <w:bottom w:w="0" w:type="dxa"/>
            <w:right w:w="108" w:type="dxa"/>
          </w:tblCellMar>
        </w:tblPrEx>
        <w:trPr>
          <w:jc w:val="center"/>
        </w:trPr>
        <w:tc>
          <w:tcPr>
            <w:tcW w:w="10080" w:type="dxa"/>
            <w:tcBorders>
              <w:top w:val="single" w:color="A9D18E" w:sz="8" w:space="0"/>
              <w:left w:val="single" w:color="A9D18E" w:sz="8" w:space="0"/>
              <w:bottom w:val="single" w:color="A9D18E" w:sz="8" w:space="0"/>
              <w:right w:val="single" w:color="A9D18E" w:sz="8" w:space="0"/>
            </w:tcBorders>
            <w:shd w:val="clear" w:color="auto" w:fill="E2F0D9"/>
            <w:vAlign w:val="center"/>
          </w:tcPr>
          <w:p w14:paraId="7E39318B">
            <w:pPr>
              <w:spacing w:before="80" w:after="80"/>
              <w:rPr>
                <w:rFonts w:hint="default" w:ascii="Times New Roman" w:hAnsi="Times New Roman" w:cs="Times New Roman"/>
              </w:rPr>
            </w:pPr>
            <w:r>
              <w:rPr>
                <w:rFonts w:hint="default" w:ascii="Times New Roman" w:hAnsi="Times New Roman" w:eastAsia="Times New Roman" w:cs="Times New Roman"/>
                <w:b/>
                <w:color w:val="375623"/>
                <w:sz w:val="23"/>
              </w:rPr>
              <w:t>Câu hỏi</w:t>
            </w:r>
          </w:p>
          <w:p w14:paraId="227FAFB7">
            <w:pPr>
              <w:spacing w:after="60"/>
              <w:jc w:val="both"/>
              <w:rPr>
                <w:rFonts w:hint="default" w:ascii="Times New Roman" w:hAnsi="Times New Roman" w:cs="Times New Roman"/>
              </w:rPr>
            </w:pPr>
            <w:r>
              <w:rPr>
                <w:rFonts w:hint="default" w:ascii="Times New Roman" w:hAnsi="Times New Roman" w:eastAsia="Times New Roman" w:cs="Times New Roman"/>
                <w:sz w:val="22"/>
              </w:rPr>
              <w:t>Một nhà cung cấp dịch vụ email doanh nghiệp phát hiện một tài khoản khách hàng đang dùng để phát tán hàng nghìn email lừa đảo. Nhà cung cấp tự ý khóa tài khoản và xóa toàn bộ dữ liệu email của khách hàng đó mà không thông báo trước. Khách hàng kiện đòi bồi thường dữ liệu và gián đoạn kinh doanh. Xác định: nhà cung cấp có quyền tự ý khóa và xóa dữ liệu không hay phải chờ yêu cầu cơ quan nhà nước; việc xóa dữ liệu có vi phạm nghĩa vụ nào của nhà cung cấp không; và trách nhiệm của nhà cung cấp về phát tán email lừa đảo nếu không phát hiện kịp thời.</w:t>
            </w:r>
          </w:p>
        </w:tc>
      </w:tr>
    </w:tbl>
    <w:p w14:paraId="74AF3744">
      <w:pPr>
        <w:spacing w:before="160" w:after="80"/>
        <w:rPr>
          <w:rFonts w:hint="default" w:ascii="Times New Roman" w:hAnsi="Times New Roman" w:cs="Times New Roman"/>
        </w:rPr>
      </w:pPr>
      <w:r>
        <w:rPr>
          <w:rFonts w:hint="default" w:ascii="Times New Roman" w:hAnsi="Times New Roman" w:eastAsia="Times New Roman" w:cs="Times New Roman"/>
          <w:b/>
          <w:color w:val="1F4E79"/>
          <w:sz w:val="26"/>
        </w:rPr>
        <w:t>Câu trả lời</w:t>
      </w:r>
    </w:p>
    <w:p w14:paraId="1AF6C144">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1. Quyền hạn khóa và xóa dữ liệu của nhà cung cấp</w:t>
      </w:r>
    </w:p>
    <w:p w14:paraId="656EADBE">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KHÔNG quy định cụ thể quyền tự ý khóa và xóa toàn bộ dữ liệu của khách hàng mà không thông báo trước.</w:t>
      </w:r>
    </w:p>
    <w:p w14:paraId="01208399">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Căn cứ: [Luật Công nghệ thông tin (văn bản hợp nhất 2025)] Điều 72, Khoản 2, điểm đ: "Hành vi khác làm mất an toàn, bí mật thông tin của tổ chức, cá nhân khác được trao đổi, truyền đưa, lưu trữ trên môi trường mạng."</w:t>
      </w:r>
    </w:p>
    <w:p w14:paraId="024E1155">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Căn cứ: [Luật An ninh mạng 2025] Điều 41, Khoản 6: "Phối hợp thực hiện theo hướng dẫn của lực lượng chuyên trách bảo vệ an ninh mạng thuộc Bộ Công an để thiết lập hệ thống kết nối, đấu nối đường truyền..."</w:t>
      </w:r>
    </w:p>
    <w:p w14:paraId="1F426273">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Căn cứ: [Luật Viễn thông 2023] Điều 13, Khoản 4: "...khi có yêu cầu bằng văn bản của cơ quan nhà nước có thẩm quyền theo quy định của pháp luật [thực hiện các biện pháp ngăn chặn kết nối...]".</w:t>
      </w:r>
    </w:p>
    <w:p w14:paraId="2CFF0A6D">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Phân tích:</w:t>
      </w:r>
    </w:p>
    <w:p w14:paraId="64D33110">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Hành vi "xóa toàn bộ dữ liệu" của khách hàng mà không có sự đồng ý hoặc yêu cầu của cơ quan nhà nước có thẩm quyền có thể bị xem là hành vi "làm mất an toàn, bí mật thông tin" (Luật CNTT Điều 72).</w:t>
      </w:r>
    </w:p>
    <w:p w14:paraId="707A68C0">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và Viễn thông quy định doanh nghiệp phải phối hợp với cơ quan nhà nước để thực hiện các biện pháp ngăn chặn (Điều 41 Luật An ninh mạng; Điều 13 Luật Viễn thông), chứ không quy định quyền tự ý xóa dữ liệu của khách hàng.</w:t>
      </w:r>
    </w:p>
    <w:p w14:paraId="556A902A">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2. Vi phạm nghĩa vụ nào?</w:t>
      </w:r>
    </w:p>
    <w:p w14:paraId="61614F6E">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Việc xóa dữ liệu không thông báo trước có thể vi phạm các nghĩa vụ sau:</w:t>
      </w:r>
    </w:p>
    <w:p w14:paraId="7D5DD8F3">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Nghĩa vụ bảo đảm an toàn, bí mật thông tin: [Luật Công nghệ thông tin (văn bản hợp nhất 2025)] Điều 72, Khoản 1: "Thông tin riêng hợp pháp của tổ chức, cá nhân trao đổi, truyền đưa, lưu trữ trên môi trường mạng được bảo đảm bí mật".</w:t>
      </w:r>
    </w:p>
    <w:p w14:paraId="3D4A147D">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Nghĩa vụ cảnh báo và hướng dẫn: [Luật An ninh mạng 2025] Điều 41, Khoản 2: "Cảnh báo khả năng mất an ninh mạng trong việc sử dụng dịch vụ trên không gian mạng do mình cung cấp và hướng dẫn biện pháp phòng ngừa".</w:t>
      </w:r>
    </w:p>
    <w:p w14:paraId="18D4B628">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Nghĩa vụ cung cấp dịch vụ: [Luật Viễn thông 2023] Điều 28, Khoản 2: Doanh nghiệp cung cấp dịch vụ trung tâm dữ liệu, dịch vụ điện toán đám mây có nghĩa vụ "Thực hiện việc đăng ký, thông báo cung cấp dịch vụ viễn thông theo quy định của pháp luật".</w:t>
      </w:r>
    </w:p>
    <w:p w14:paraId="76A14699">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3. Trách nhiệm về phát tán email lừa đảo nếu không phát hiện kịp thời</w:t>
      </w:r>
    </w:p>
    <w:p w14:paraId="1E083D01">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Nhà cung cấp có trách nhiệm áp dụng biện pháp kỹ thuật để phòng ngừa, nhưng mức độ trách nhiệm bồi thường cụ thể không được quy định chi tiết trong các văn bản này.</w:t>
      </w:r>
    </w:p>
    <w:p w14:paraId="630130BB">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Nghĩa vụ phòng ngừa: [Luật An ninh mạng 2025] Điều 41, Khoản 4: "Áp dụng các biện pháp, giải pháp kỹ thuật để bảo đảm an ninh mạng cho hoạt động xử lý dữ liệu, xử lý dữ liệu cá nhân".</w:t>
      </w:r>
    </w:p>
    <w:p w14:paraId="48BD150C">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Nghĩa vụ ứng cứu: [Luật An ninh mạng 2025] Điều 41, Khoản 3: "Khi xảy ra sự cố an ninh mạng, ngay lập tức triển khai phương án ứng cứu khẩn cấp bảo đảm an ninh mạng".</w:t>
      </w:r>
    </w:p>
    <w:p w14:paraId="4AAFDCDA">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Trách nhiệm nội dung: [Luật Công nghệ thông tin (văn bản hợp nhất 2025)] Điều 9, Khoản 1: "Tổ chức, cá nhân tham gia hoạt động ứng dụng công nghệ thông tin phải chịu trách nhiệm về nội dung thông tin số của mình".</w:t>
      </w:r>
    </w:p>
    <w:p w14:paraId="3E0882E3">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4. Khoảng trống pháp lý và suy luận</w:t>
      </w:r>
    </w:p>
    <w:p w14:paraId="069066E6">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Khoảng trống: Luật không quy định cụ thể tiêu chí "phát hiện kịp thời" hay mức độ "tự ý khóa tài khoản" khi có hành vi lừa đảo. Luật chỉ quy định nghĩa vụ phối hợp với cơ quan nhà nước khi có yêu cầu (Điều 41 Luật An ninh mạng) và cấm xóa thông tin trái phép (Điều 72 Luật CNTT).</w:t>
      </w:r>
    </w:p>
    <w:p w14:paraId="33AB483B">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Suy luận từ nguyên tắc:</w:t>
      </w:r>
    </w:p>
    <w:p w14:paraId="254BB95D">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Nguyên tắc tỷ lệ: Việc xóa toàn bộ dữ liệu (bao gồm cả dữ liệu hợp pháp) là biện pháp cực đoan. Nếu chỉ để ngăn chặn lừa đảo, biện pháp thích hợp hơn là khóa tài khoản (tạm dừng dịch vụ) thay vì xóa dữ liệu.</w:t>
      </w:r>
    </w:p>
    <w:p w14:paraId="40E0611E">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Quyền của cơ quan nhà nước: Theo [Luật Viễn thông 2023] Điều 13, Khoản 4, việc ngăn chặn kết nối thường dựa trên yêu cầu của cơ quan nhà nước có thẩm quyền.</w:t>
      </w:r>
    </w:p>
    <w:p w14:paraId="36A8836F">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Phân công trách nhiệm: Nhà cung cấp có nghĩa vụ áp dụng biện pháp kỹ thuật (Điều 41 Luật An ninh mạng) để phát hiện và ngăn chặn, nhưng việc xử lý hậu quả (xóa dữ liệu) cần cân nhắc quyền sở hữu dữ liệu của khách hàng.</w:t>
      </w:r>
    </w:p>
    <w:p w14:paraId="2A3F5759">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Kết luận:</w:t>
      </w:r>
    </w:p>
    <w:p w14:paraId="67B2367D">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Quyền tự ý xóa: Nhà cung cấp KHÔNG có quyền tự ý xóa toàn bộ dữ liệu khách hàng mà không thông báo trước, trừ khi có yêu cầu của cơ quan nhà nước có thẩm quyền hoặc trong trường hợp khẩn cấp đe dọa an ninh quốc gia (cần căn cứ cụ thể hơn). Hành vi này có nguy cơ vi phạm nghĩa vụ bảo đảm bí mật thông tin.</w:t>
      </w:r>
    </w:p>
    <w:p w14:paraId="24A45B0E">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Vi phạm nghĩa vụ: Việc xóa dữ liệu không thông báo vi phạm nghĩa vụ bảo đảm an toàn, bí mật thông tin (Luật CNTT Điều 72) và có thể vi phạm nghĩa vụ cung cấp dịch vụ (Luật Viễn thông Điều 28).</w:t>
      </w:r>
    </w:p>
    <w:p w14:paraId="237B8559">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Trách nhiệm phát tán: Nhà cung cấp có nghĩa vụ áp dụng biện pháp kỹ thuật để phòng ngừa (Luật An ninh mạng Điều 41). Nếu không phát hiện kịp thời, có thể bị xem xét trách nhiệm về việc không thực hiện đầy đủ biện pháp bảo đảm an ninh mạng, nhưng mức bồi thường cụ thể phụ thuộc vào thiệt hại thực tế và quy định về bồi thường thiệt hại ngoài hợp đồng (không có trong văn bản cung cấp).</w:t>
      </w:r>
    </w:p>
    <w:p w14:paraId="0797A657">
      <w:pPr>
        <w:spacing w:after="60"/>
        <w:ind w:firstLine="259"/>
        <w:jc w:val="both"/>
        <w:rPr>
          <w:rFonts w:hint="default" w:ascii="Times New Roman" w:hAnsi="Times New Roman" w:eastAsia="Times New Roman" w:cs="Times New Roman"/>
          <w:sz w:val="22"/>
        </w:rPr>
      </w:pPr>
      <w:r>
        <w:rPr>
          <w:rFonts w:hint="default" w:ascii="Times New Roman" w:hAnsi="Times New Roman" w:eastAsia="Times New Roman" w:cs="Times New Roman"/>
          <w:sz w:val="22"/>
        </w:rPr>
        <w:t>Mức độ chắc chắn: Đây là suy luận từ nguyên tắc bảo đảm bí mật thông tin và quyền sở hữu dữ liệu — luật chưa quy định tường minh về quyền tự ý xóa dữ liệu của nhà cung cấp trong trường hợp phát hiện lừa đảo.</w:t>
      </w:r>
    </w:p>
    <w:p w14:paraId="5966F9C7">
      <w:pPr>
        <w:spacing w:after="60"/>
        <w:ind w:firstLine="259"/>
        <w:jc w:val="both"/>
        <w:rPr>
          <w:rFonts w:hint="default" w:ascii="Times New Roman" w:hAnsi="Times New Roman" w:eastAsia="Times New Roman" w:cs="Times New Roman"/>
          <w:sz w:val="22"/>
        </w:rPr>
      </w:pPr>
    </w:p>
    <w:p w14:paraId="015E2176">
      <w:pPr>
        <w:rPr>
          <w:rFonts w:hint="default" w:ascii="Times New Roman" w:hAnsi="Times New Roman" w:cs="Times New Roman"/>
        </w:rPr>
      </w:pPr>
      <w:r>
        <w:rPr>
          <w:rFonts w:hint="default" w:ascii="Times New Roman" w:hAnsi="Times New Roman" w:eastAsia="Times New Roman" w:cs="Times New Roman"/>
          <w:b/>
          <w:color w:val="548235"/>
          <w:sz w:val="32"/>
        </w:rPr>
        <w:t>Câu 7</w:t>
      </w:r>
    </w:p>
    <w:tbl>
      <w:tblPr>
        <w:tblStyle w:val="12"/>
        <w:tblW w:w="0" w:type="auto"/>
        <w:jc w:val="center"/>
        <w:tblLayout w:type="autofit"/>
        <w:tblCellMar>
          <w:top w:w="0" w:type="dxa"/>
          <w:left w:w="108" w:type="dxa"/>
          <w:bottom w:w="0" w:type="dxa"/>
          <w:right w:w="108" w:type="dxa"/>
        </w:tblCellMar>
      </w:tblPr>
      <w:tblGrid>
        <w:gridCol w:w="10080"/>
      </w:tblGrid>
      <w:tr w14:paraId="62F2EA3A">
        <w:tblPrEx>
          <w:tblCellMar>
            <w:top w:w="0" w:type="dxa"/>
            <w:left w:w="108" w:type="dxa"/>
            <w:bottom w:w="0" w:type="dxa"/>
            <w:right w:w="108" w:type="dxa"/>
          </w:tblCellMar>
        </w:tblPrEx>
        <w:trPr>
          <w:jc w:val="center"/>
        </w:trPr>
        <w:tc>
          <w:tcPr>
            <w:tcW w:w="10080" w:type="dxa"/>
            <w:tcBorders>
              <w:top w:val="single" w:color="A9D18E" w:sz="8" w:space="0"/>
              <w:left w:val="single" w:color="A9D18E" w:sz="8" w:space="0"/>
              <w:bottom w:val="single" w:color="A9D18E" w:sz="8" w:space="0"/>
              <w:right w:val="single" w:color="A9D18E" w:sz="8" w:space="0"/>
            </w:tcBorders>
            <w:shd w:val="clear" w:color="auto" w:fill="E2F0D9"/>
            <w:vAlign w:val="center"/>
          </w:tcPr>
          <w:p w14:paraId="5DBDE716">
            <w:pPr>
              <w:spacing w:before="80" w:after="80"/>
              <w:rPr>
                <w:rFonts w:hint="default" w:ascii="Times New Roman" w:hAnsi="Times New Roman" w:cs="Times New Roman"/>
              </w:rPr>
            </w:pPr>
            <w:r>
              <w:rPr>
                <w:rFonts w:hint="default" w:ascii="Times New Roman" w:hAnsi="Times New Roman" w:eastAsia="Times New Roman" w:cs="Times New Roman"/>
                <w:b/>
                <w:color w:val="375623"/>
                <w:sz w:val="23"/>
              </w:rPr>
              <w:t>Câu hỏi</w:t>
            </w:r>
          </w:p>
          <w:p w14:paraId="407E5973">
            <w:pPr>
              <w:spacing w:after="60"/>
              <w:jc w:val="both"/>
              <w:rPr>
                <w:rFonts w:hint="default" w:ascii="Times New Roman" w:hAnsi="Times New Roman" w:cs="Times New Roman"/>
              </w:rPr>
            </w:pPr>
            <w:r>
              <w:rPr>
                <w:rFonts w:hint="default" w:ascii="Times New Roman" w:hAnsi="Times New Roman" w:eastAsia="Times New Roman" w:cs="Times New Roman"/>
                <w:sz w:val="22"/>
              </w:rPr>
              <w:t>Một trang web tin tức trích dẫn nguyên văn một báo cáo nội bộ của doanh nghiệp tư nhân do một nhân viên bị sa thải cung cấp. Báo cáo tiết lộ hành vi gian lận tài chính. Doanh nghiệp kiện trang web về tiết lộ bí mật kinh doanh. Trang web lập luận họ có quyền cung cấp thông tin vì nội dung thuộc lợi ích công cộng. Xác định: Luật CNTT có điều chỉnh nội dung tranh chấp này không hay phải dùng luật khác; nghĩa vụ ghi nguồn và giới hạn trích dẫn theo Luật CNTT được quy định thế nào; và trang web có thể bị xử lý theo cả Luật CNTT lẫn Luật An ninh mạng không và với căn cứ nào.</w:t>
            </w:r>
          </w:p>
        </w:tc>
      </w:tr>
    </w:tbl>
    <w:p w14:paraId="119AD04C">
      <w:pPr>
        <w:spacing w:before="160" w:after="80"/>
        <w:rPr>
          <w:rFonts w:hint="default" w:ascii="Times New Roman" w:hAnsi="Times New Roman" w:cs="Times New Roman"/>
        </w:rPr>
      </w:pPr>
      <w:r>
        <w:rPr>
          <w:rFonts w:hint="default" w:ascii="Times New Roman" w:hAnsi="Times New Roman" w:eastAsia="Times New Roman" w:cs="Times New Roman"/>
          <w:b/>
          <w:color w:val="1F4E79"/>
          <w:sz w:val="26"/>
        </w:rPr>
        <w:t>Câu trả lời</w:t>
      </w:r>
    </w:p>
    <w:p w14:paraId="079EABE2">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1. Phạm vi điều chỉnh của Luật Công nghệ thông tin (văn bản hợp nhất 2025)</w:t>
      </w:r>
    </w:p>
    <w:p w14:paraId="4766E7A4">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Công nghệ thông tin (văn bản hợp nhất 2025) có điều chỉnh nội dung tranh chấp này vì hoạt động của trang web tin tức thuộc "hoạt động ứng dụng và phát triển công nghệ thông tin".</w:t>
      </w:r>
    </w:p>
    <w:p w14:paraId="753F278A">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Căn cứ:</w:t>
      </w:r>
    </w:p>
    <w:p w14:paraId="32D84A83">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Công nghệ thông tin (văn bản hợp nhất 2025)] Điều 1, Khoản 1: "Luật này quy định về hoạt động ứng dụng và phát triển công nghệ thông tin, các biện pháp bảo đảm ứng dụng và phát triển công nghệ thông tin, quyền và nghĩa vụ của cơ quan, tổ chức, cá nhân (sau đây gọi chung là tổ chức, cá nhân) tham gia hoạt động ứng dụng và phát triển công nghệ thông tin."</w:t>
      </w:r>
    </w:p>
    <w:p w14:paraId="0FAA5F03">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2. Nghĩa vụ ghi nguồn và giới hạn trích dẫn</w:t>
      </w:r>
    </w:p>
    <w:p w14:paraId="466B1101">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Công nghệ thông tin quy định rõ nghĩa vụ ghi nguồn và giới hạn trích dẫn nội dung thông tin số.</w:t>
      </w:r>
    </w:p>
    <w:p w14:paraId="5EB6DD47">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Quy định về giới hạn trích dẫn:</w:t>
      </w:r>
    </w:p>
    <w:p w14:paraId="0F1A4F70">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Công nghệ thông tin (văn bản hợp nhất 2025)] Điều 15, Khoản 4: "Tổ chức, cá nhân không được trích dẫn nội dung thông tin số của tổ chức, cá nhân khác trong trường hợp chủ sở hữu thông tin số đã có cảnh báo hoặc pháp luật quy định việc trích dẫn thông tin là không được phép."</w:t>
      </w:r>
    </w:p>
    <w:p w14:paraId="3BB62476">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Quy định về nghĩa vụ ghi nguồn:</w:t>
      </w:r>
    </w:p>
    <w:p w14:paraId="7324F21F">
      <w:pPr>
        <w:spacing w:after="60"/>
        <w:rPr>
          <w:rFonts w:hint="default" w:ascii="Times New Roman" w:hAnsi="Times New Roman" w:cs="Times New Roman"/>
        </w:rPr>
      </w:pPr>
      <w:r>
        <w:rPr>
          <w:rFonts w:hint="default" w:ascii="Times New Roman" w:hAnsi="Times New Roman" w:eastAsia="Times New Roman" w:cs="Times New Roman"/>
          <w:i/>
          <w:color w:val="404040"/>
          <w:sz w:val="21"/>
        </w:rPr>
        <w:t>[Luật Công nghệ thông tin (văn bản hợp nhất 2025)] Điều 15, Khoản 5: "Trường hợp được phép trích dẫn thông tin số, tổ chức, cá nhân có trách nhiệm nêu rõ nguồn của thông tin đó."</w:t>
      </w:r>
    </w:p>
    <w:p w14:paraId="4E5CF46F">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So sánh với Luật An ninh mạng 2025:</w:t>
      </w:r>
    </w:p>
    <w:p w14:paraId="6837D41B">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Giống nhau: Cả hai luật đều quy định về bảo vệ thông tin trên không gian mạng.</w:t>
      </w:r>
    </w:p>
    <w:p w14:paraId="7003C97C">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Khác nhau:</w:t>
      </w:r>
    </w:p>
    <w:p w14:paraId="370D881A">
      <w:pPr>
        <w:spacing w:after="60"/>
        <w:rPr>
          <w:rFonts w:hint="default" w:ascii="Times New Roman" w:hAnsi="Times New Roman" w:cs="Times New Roman"/>
        </w:rPr>
      </w:pPr>
      <w:r>
        <w:rPr>
          <w:rFonts w:hint="default" w:ascii="Times New Roman" w:hAnsi="Times New Roman" w:eastAsia="Times New Roman" w:cs="Times New Roman"/>
          <w:i/>
          <w:color w:val="404040"/>
          <w:sz w:val="21"/>
        </w:rPr>
        <w:t>[Luật Công nghệ thông tin (văn bản hợp nhất 2025)] Điều 15, Khoản 4 quy định cụ thể về "trích dẫn nội dung thông tin số" và nghĩa vụ "nêu rõ nguồn".</w:t>
      </w:r>
    </w:p>
    <w:p w14:paraId="2A0A20D0">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15, Khoản 1 quy định về "bảo vệ thông tin thuộc bí mật nhà nước, bí mật công tác, bí mật kinh doanh, bí mật cá nhân, bí mật gia đình và đời sống riêng tư trên không gian mạng" nhưng không quy định chi tiết về quy trình trích dẫn như Luật Công nghệ thông tin.</w:t>
      </w:r>
    </w:p>
    <w:p w14:paraId="33BA03B8">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3. Khả năng xử lý song song và Căn cứ xử phạt</w:t>
      </w:r>
    </w:p>
    <w:p w14:paraId="7104496E">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Trang web có thể bị xử lý theo cả Luật Công nghệ thông tin và Luật An ninh mạng nếu hành vi vi phạm cả hai bộ luật.</w:t>
      </w:r>
    </w:p>
    <w:p w14:paraId="0503E01F">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Xử phạt theo Luật Công nghệ thông tin:</w:t>
      </w:r>
    </w:p>
    <w:p w14:paraId="54C3CBD7">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Hành vi: Vi phạm quy định về trích dẫn thông tin số (Điều 15) hoặc gây thiệt hại.</w:t>
      </w:r>
    </w:p>
    <w:p w14:paraId="32D62902">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Căn cứ: [Luật Công nghệ thông tin (văn bản hợp nhất 2025)] Điều 77, Khoản 2: "Tổ chức có hành vi vi phạm pháp luật về công nghệ thông tin thì tùy theo tính chất, mức độ vi phạm mà bị xử phạt hành chính, đình chỉ hoạt động".</w:t>
      </w:r>
    </w:p>
    <w:p w14:paraId="4603E065">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Chế tài: Xử phạt hành chính, đình chỉ hoạt động.</w:t>
      </w:r>
    </w:p>
    <w:p w14:paraId="32339F59">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Xử phạt theo Luật An ninh mạng:</w:t>
      </w:r>
    </w:p>
    <w:p w14:paraId="7DFCE55A">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Hành vi: Tiết lộ bí mật kinh doanh có thể bị xem là hành vi xâm phạm an ninh mạng nếu ảnh hưởng đến trật tự, an toàn xã hội hoặc lợi ích quốc gia.</w:t>
      </w:r>
    </w:p>
    <w:p w14:paraId="61EC9EFB">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Căn cứ: [Luật An ninh mạng 2025] Điều 15, Khoản 1: "Hành vi gián điệp mạng; bảo vệ thông tin thuộc bí mật nhà nước, bí mật công tác, bí mật kinh doanh, bí mật cá nhân, bí mật gia đình và đời sống riêng tư trên không gian mạng".</w:t>
      </w:r>
    </w:p>
    <w:p w14:paraId="727659E7">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Chế tài: Tùy thuộc vào mức độ vi phạm (hành chính hoặc hình sự theo quy định của pháp luật hình sự).</w:t>
      </w:r>
    </w:p>
    <w:p w14:paraId="1F56E884">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Tổng hợp hai luật:</w:t>
      </w:r>
    </w:p>
    <w:p w14:paraId="70BB2B23">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[Tổng hợp hai luật: [Luật Công nghệ thông tin (văn bản hợp nhất 2025)] Điều 15 quy định về trích dẫn thông tin số và nghĩa vụ ghi nguồn; [Luật An ninh mạng 2025] Điều 15 quy định về bảo vệ bí mật kinh doanh trên không gian mạng — kết hợp xác định: Hành vi tiết lộ bí mật kinh doanh qua web có thể bị xử lý vi phạm cả hai luật nếu vi phạm quy định trích dẫn của Luật CNTT và xâm phạm bí mật kinh doanh của Luật An ninh mạng].</w:t>
      </w:r>
    </w:p>
    <w:p w14:paraId="0D0FB23A">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4. Khoảng trống pháp lý về "Lợi ích công cộng"</w:t>
      </w:r>
    </w:p>
    <w:p w14:paraId="1ADE18B1">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Công nghệ thông tin (văn bản hợp nhất 2025) không quy định cụ thể về "lợi ích công cộng" như một cơ chế miễn trừ trách nhiệm khi trích dẫn.</w:t>
      </w:r>
    </w:p>
    <w:p w14:paraId="58638215">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Phân tích:</w:t>
      </w:r>
    </w:p>
    <w:p w14:paraId="0AD5F1CC">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quy định: [Luật Công nghệ thông tin (văn bản hợp nhất 2025)] Điều 15, Khoản 4 quy định nghĩa vụ không được trích dẫn khi chủ sở hữu đã cảnh báo hoặc pháp luật cấm.</w:t>
      </w:r>
    </w:p>
    <w:p w14:paraId="1721E459">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Khoảng trống: Văn bản KHÔNG nêu rõ "lợi ích công cộng" là lý do hợp pháp để vượt qua giới hạn trích dẫn hoặc miễn trừ trách nhiệm tiết lộ bí mật kinh doanh.</w:t>
      </w:r>
    </w:p>
    <w:p w14:paraId="40E7D90A">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Suy luận bù khoảng trống:</w:t>
      </w:r>
    </w:p>
    <w:p w14:paraId="1E3D31B0">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Bước 1 — Nguyên tắc gần nhất: Khi luật chuyên ngành không quy định cơ chế miễn trừ, nguyên tắc chung pháp luật dân sự và báo chí (không nằm trong dữ liệu nguồn nhưng là nguyên tắc pháp lý chung) thường được áp dụng để cân bằng giữa quyền sở hữu trí tuệ/bí mật và quyền tự do báo chí.</w:t>
      </w:r>
    </w:p>
    <w:p w14:paraId="69215634">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Bước 2 — Phân công trách nhiệm:</w:t>
      </w:r>
    </w:p>
    <w:p w14:paraId="4D651B19">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Nhà nước: Cần ban hành văn bản hướng dẫn chi tiết về tiêu chí "lợi ích công cộng" trong bối cảnh an ninh mạng và bảo vệ bí mật kinh doanh.</w:t>
      </w:r>
    </w:p>
    <w:p w14:paraId="19029225">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Doanh nghiệp/Trang web: Phải tuân thủ quy định ghi nguồn và không được trích dẫn khi đã có cảnh báo, trừ khi có cơ chế miễn trừ được pháp luật thừa nhận.</w:t>
      </w:r>
    </w:p>
    <w:p w14:paraId="7DB7E30A">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Bước 3 — Mức độ chắc chắn: Đây là suy luận từ nguyên tắc pháp luật chung — luật chưa quy định tường minh về "lợi ích công cộng" như cơ chế miễn trừ.</w:t>
      </w:r>
    </w:p>
    <w:p w14:paraId="28143CDA">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Kết luận:</w:t>
      </w:r>
    </w:p>
    <w:p w14:paraId="14B4EEEB">
      <w:pPr>
        <w:spacing w:after="60"/>
        <w:ind w:firstLine="259"/>
        <w:jc w:val="both"/>
        <w:rPr>
          <w:rFonts w:hint="default" w:ascii="Times New Roman" w:hAnsi="Times New Roman" w:eastAsia="Times New Roman" w:cs="Times New Roman"/>
          <w:sz w:val="22"/>
        </w:rPr>
      </w:pPr>
      <w:r>
        <w:rPr>
          <w:rFonts w:hint="default" w:ascii="Times New Roman" w:hAnsi="Times New Roman" w:eastAsia="Times New Roman" w:cs="Times New Roman"/>
          <w:sz w:val="22"/>
        </w:rPr>
        <w:t>Luật Công nghệ thông tin (văn bản hợp nhất 2025) điều chỉnh tranh chấp về trích dẫn thông tin số trên web tin tức. Trang web có nghĩa vụ ghi nguồn và không được trích dẫn khi chủ sở hữu đã cảnh báo. Việc xử lý song song với Luật An ninh mạng là khả thi nếu hành vi xâm phạm bí mật kinh doanh được đánh giá là vi phạm an ninh mạng. Tuy nhiên, lập luận "lợi ích công cộng" của trang web không được Luật Công nghệ thông tin quy định rõ ràng như một cơ chế miễn trừ, dẫn đến khoảng trống cần được giải quyết bằng nguyên tắc pháp luật chung hoặc văn bản hướng dẫn chi tiết.</w:t>
      </w:r>
    </w:p>
    <w:p w14:paraId="3343DAF8">
      <w:pPr>
        <w:spacing w:after="60"/>
        <w:ind w:firstLine="259"/>
        <w:jc w:val="both"/>
        <w:rPr>
          <w:rFonts w:hint="default" w:ascii="Times New Roman" w:hAnsi="Times New Roman" w:eastAsia="Times New Roman" w:cs="Times New Roman"/>
          <w:sz w:val="22"/>
        </w:rPr>
      </w:pPr>
    </w:p>
    <w:p w14:paraId="68D4BDBC">
      <w:pPr>
        <w:rPr>
          <w:rFonts w:hint="default" w:ascii="Times New Roman" w:hAnsi="Times New Roman" w:cs="Times New Roman"/>
        </w:rPr>
      </w:pPr>
      <w:r>
        <w:rPr>
          <w:rFonts w:hint="default" w:ascii="Times New Roman" w:hAnsi="Times New Roman" w:eastAsia="Times New Roman" w:cs="Times New Roman"/>
          <w:b/>
          <w:color w:val="548235"/>
          <w:sz w:val="32"/>
        </w:rPr>
        <w:t>Câu 8</w:t>
      </w:r>
    </w:p>
    <w:tbl>
      <w:tblPr>
        <w:tblStyle w:val="12"/>
        <w:tblW w:w="0" w:type="auto"/>
        <w:jc w:val="center"/>
        <w:tblLayout w:type="autofit"/>
        <w:tblCellMar>
          <w:top w:w="0" w:type="dxa"/>
          <w:left w:w="108" w:type="dxa"/>
          <w:bottom w:w="0" w:type="dxa"/>
          <w:right w:w="108" w:type="dxa"/>
        </w:tblCellMar>
      </w:tblPr>
      <w:tblGrid>
        <w:gridCol w:w="10080"/>
      </w:tblGrid>
      <w:tr w14:paraId="1834C928">
        <w:tblPrEx>
          <w:tblCellMar>
            <w:top w:w="0" w:type="dxa"/>
            <w:left w:w="108" w:type="dxa"/>
            <w:bottom w:w="0" w:type="dxa"/>
            <w:right w:w="108" w:type="dxa"/>
          </w:tblCellMar>
        </w:tblPrEx>
        <w:trPr>
          <w:jc w:val="center"/>
        </w:trPr>
        <w:tc>
          <w:tcPr>
            <w:tcW w:w="10080" w:type="dxa"/>
            <w:tcBorders>
              <w:top w:val="single" w:color="A9D18E" w:sz="8" w:space="0"/>
              <w:left w:val="single" w:color="A9D18E" w:sz="8" w:space="0"/>
              <w:bottom w:val="single" w:color="A9D18E" w:sz="8" w:space="0"/>
              <w:right w:val="single" w:color="A9D18E" w:sz="8" w:space="0"/>
            </w:tcBorders>
            <w:shd w:val="clear" w:color="auto" w:fill="E2F0D9"/>
            <w:vAlign w:val="center"/>
          </w:tcPr>
          <w:p w14:paraId="66BBB2C2">
            <w:pPr>
              <w:spacing w:before="80" w:after="80"/>
              <w:rPr>
                <w:rFonts w:hint="default" w:ascii="Times New Roman" w:hAnsi="Times New Roman" w:cs="Times New Roman"/>
              </w:rPr>
            </w:pPr>
            <w:r>
              <w:rPr>
                <w:rFonts w:hint="default" w:ascii="Times New Roman" w:hAnsi="Times New Roman" w:eastAsia="Times New Roman" w:cs="Times New Roman"/>
                <w:b/>
                <w:color w:val="375623"/>
                <w:sz w:val="23"/>
              </w:rPr>
              <w:t>Câu hỏi</w:t>
            </w:r>
          </w:p>
          <w:p w14:paraId="004CD976">
            <w:pPr>
              <w:spacing w:after="60"/>
              <w:jc w:val="both"/>
              <w:rPr>
                <w:rFonts w:hint="default" w:ascii="Times New Roman" w:hAnsi="Times New Roman" w:cs="Times New Roman"/>
              </w:rPr>
            </w:pPr>
            <w:r>
              <w:rPr>
                <w:rFonts w:hint="default" w:ascii="Times New Roman" w:hAnsi="Times New Roman" w:eastAsia="Times New Roman" w:cs="Times New Roman"/>
                <w:sz w:val="22"/>
              </w:rPr>
              <w:t>Một giảng viên đại học công lập xây dựng khóa học trực tuyến cá nhân trên nền tảng nước ngoài (Udemy), thu phí từ học viên quốc tế, dùng tài liệu nghiên cứu từ dự án do ngân sách nhà nước tài trợ. Trường đại học cho rằng toàn bộ tài sản trí tuệ thuộc trường. Giảng viên cho rằng đây là sáng tạo cá nhân ngoài giờ làm việc. Xác định: Luật CNTT điều chỉnh khía cạnh nào của tình huống này; quyền sở hữu đối với sản phẩm số được tạo ra từ dự án ngân sách nhà nước thuộc về ai; và hoạt động giảng dạy trực tuyến có thu phí trên nền tảng nước ngoài chịu sự điều chỉnh của quy định nào.</w:t>
            </w:r>
          </w:p>
        </w:tc>
      </w:tr>
    </w:tbl>
    <w:p w14:paraId="698E1FFE">
      <w:pPr>
        <w:spacing w:before="160" w:after="80"/>
        <w:rPr>
          <w:rFonts w:hint="default" w:ascii="Times New Roman" w:hAnsi="Times New Roman" w:cs="Times New Roman"/>
        </w:rPr>
      </w:pPr>
      <w:r>
        <w:rPr>
          <w:rFonts w:hint="default" w:ascii="Times New Roman" w:hAnsi="Times New Roman" w:eastAsia="Times New Roman" w:cs="Times New Roman"/>
          <w:b/>
          <w:color w:val="1F4E79"/>
          <w:sz w:val="26"/>
        </w:rPr>
        <w:t>Câu trả lời</w:t>
      </w:r>
    </w:p>
    <w:p w14:paraId="22537102">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1. Về quyền sở hữu trí tuệ đối với sản phẩm từ dự án ngân sách nhà nước</w:t>
      </w:r>
    </w:p>
    <w:p w14:paraId="07E00BF6">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Trạng thái: B — Luật có quy định + có khoảng trống.</w:t>
      </w:r>
    </w:p>
    <w:p w14:paraId="41DCDBD1">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Căn cứ pháp luật:</w:t>
      </w:r>
    </w:p>
    <w:p w14:paraId="7D6FBF47">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[Luật Công nghệ thông tin (văn bản hợp nhất 2025)] Điều 40. Nghiên cứu - phát triển công nghệ, sản phẩm công nghệ thông tin:</w:t>
      </w:r>
    </w:p>
    <w:p w14:paraId="5EDE8450">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Khoản 1: "Nhà nước khuyến khích tổ chức, cá nhân tham gia nghiên cứu - phát triển công nghệ, sản phẩm công nghệ thông tin."</w:t>
      </w:r>
    </w:p>
    <w:p w14:paraId="5300446C">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Khoản 2: "Nhà nước ưu tiên dành một khoản từ ngân sách nhà nước cho các chương trình, đề tài nghiên cứu - phát triển phần mềm..."</w:t>
      </w:r>
    </w:p>
    <w:p w14:paraId="1C755269">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[Luật Công nghệ thông tin (văn bản hợp nhất 2025)] Điều 69. Bảo vệ quyền sở hữu trí tuệ trong lĩnh vực công nghệ thông tin:</w:t>
      </w:r>
    </w:p>
    <w:p w14:paraId="3CDB3257">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Khoản 1: "Tổ chức, cá nhân truyền đưa thông tin trên môi trường mạng có quyền tạo ra bản sao tạm thời..."</w:t>
      </w:r>
    </w:p>
    <w:p w14:paraId="2B32D4D5">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Khoản 2: "Người sử dụng hợp pháp phần mềm được bảo hộ có quyền sao chép phần mềm đó để lưu trữ dự phòng..."</w:t>
      </w:r>
    </w:p>
    <w:p w14:paraId="4DBE66F7">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Phân tích khoảng trống:</w:t>
      </w:r>
    </w:p>
    <w:p w14:paraId="0D7CF14A">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Công nghệ thông tin quy định về ưu tiên ngân sách cho nghiên cứu (Điều 40) và bảo vệ quyền sở hữu trí tuệ trong môi trường mạng (Điều 69), TUY NHIÊN KHÔNG NÊU quy định cụ thể về việc xác định chủ sở hữu trí tuệ đối với sản phẩm được tạo ra từ nguồn vốn ngân sách nhà nước (thuộc về Nhà nước, đơn vị thực hiện hay cá nhân).</w:t>
      </w:r>
    </w:p>
    <w:p w14:paraId="18E9EB9C">
      <w:pPr>
        <w:spacing w:before="160" w:after="60"/>
        <w:rPr>
          <w:rFonts w:hint="default" w:ascii="Times New Roman" w:hAnsi="Times New Roman" w:cs="Times New Roman"/>
        </w:rPr>
      </w:pPr>
      <w:r>
        <w:rPr>
          <w:rFonts w:hint="default" w:ascii="Times New Roman" w:hAnsi="Times New Roman" w:eastAsia="Times New Roman" w:cs="Times New Roman"/>
          <w:b/>
          <w:color w:val="548235"/>
          <w:sz w:val="24"/>
        </w:rPr>
        <w:t>BƯỚC 1 — XÁC ĐỊNH NGUYÊN TẮC GẦN NHẤT:</w:t>
      </w:r>
    </w:p>
    <w:p w14:paraId="6751E4B7">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Nguyên tắc quản lý tài sản công: Vốn ngân sách nhà nước đầu tư tạo ra tài sản trí tuệ thường thuộc về Nhà nước hoặc đơn vị được giao quản lý, trừ khi có thỏa thuận khác. Đây là suy luận từ nguyên tắc quản lý tài sản công, không phải quy định tường minh trong Luật CNTT.</w:t>
      </w:r>
    </w:p>
    <w:p w14:paraId="4885F619">
      <w:pPr>
        <w:spacing w:before="160" w:after="60"/>
        <w:rPr>
          <w:rFonts w:hint="default" w:ascii="Times New Roman" w:hAnsi="Times New Roman" w:cs="Times New Roman"/>
        </w:rPr>
      </w:pPr>
      <w:r>
        <w:rPr>
          <w:rFonts w:hint="default" w:ascii="Times New Roman" w:hAnsi="Times New Roman" w:eastAsia="Times New Roman" w:cs="Times New Roman"/>
          <w:b/>
          <w:color w:val="548235"/>
          <w:sz w:val="24"/>
        </w:rPr>
        <w:t>BƯỚC 2 — PHÂN CÔNG TRÁCH NHIỆM:</w:t>
      </w:r>
    </w:p>
    <w:p w14:paraId="4D8DD7A0">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Nhà nước: Có thẩm quyền xác định quyền sở hữu đối với tài sản trí tuệ do ngân sách đầu tư.</w:t>
      </w:r>
    </w:p>
    <w:p w14:paraId="721D944E">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Đơn vị thực hiện (Trường đại học): Là chủ thể quản lý tài sản công, chịu trách nhiệm phối hợp xác định quyền sở hữu.</w:t>
      </w:r>
    </w:p>
    <w:p w14:paraId="2DE6AB62">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Cá nhân (Giảng viên): Có quyền hưởng lợi ích vật chất và tinh thần theo quy định của pháp luật về sở hữu trí tuệ và quy chế trường, nhưng quyền sở hữu gốc có thể bị hạn chế do nguồn vốn.</w:t>
      </w:r>
    </w:p>
    <w:p w14:paraId="3D4667E6">
      <w:pPr>
        <w:spacing w:before="160" w:after="60"/>
        <w:rPr>
          <w:rFonts w:hint="default" w:ascii="Times New Roman" w:hAnsi="Times New Roman" w:cs="Times New Roman"/>
        </w:rPr>
      </w:pPr>
      <w:r>
        <w:rPr>
          <w:rFonts w:hint="default" w:ascii="Times New Roman" w:hAnsi="Times New Roman" w:eastAsia="Times New Roman" w:cs="Times New Roman"/>
          <w:b/>
          <w:color w:val="548235"/>
          <w:sz w:val="24"/>
        </w:rPr>
        <w:t>BƯỚC 3 — MỨC ĐỘ CHẮC CHẮN:</w:t>
      </w:r>
    </w:p>
    <w:p w14:paraId="62CB112B">
      <w:pPr>
        <w:spacing w:after="60"/>
        <w:ind w:left="360" w:right="216"/>
        <w:rPr>
          <w:rFonts w:hint="default" w:ascii="Times New Roman" w:hAnsi="Times New Roman" w:cs="Times New Roman"/>
        </w:rPr>
      </w:pPr>
      <w:r>
        <w:rPr>
          <w:rFonts w:hint="default" w:ascii="Times New Roman" w:hAnsi="Times New Roman" w:eastAsia="Times New Roman" w:cs="Times New Roman"/>
          <w:i/>
          <w:color w:val="404040"/>
          <w:sz w:val="21"/>
        </w:rPr>
        <w:t>"Đây là khoảng trống thực sự — cần quy định chi tiết của Chính phủ hoặc Luật Sở hữu trí tuệ."</w:t>
      </w:r>
    </w:p>
    <w:p w14:paraId="640B7E00">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2. Về hoạt động giảng dạy trực tuyến có thu phí trên nền tảng nước ngoài</w:t>
      </w:r>
    </w:p>
    <w:p w14:paraId="1C6AF0F0">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Trạng thái: A — Luật RÕ + ĐỦ (về nguyên tắc tuân thủ).</w:t>
      </w:r>
    </w:p>
    <w:p w14:paraId="6140BE88">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Căn cứ pháp luật:</w:t>
      </w:r>
    </w:p>
    <w:p w14:paraId="7D65E20D">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[Luật Công nghệ thông tin (văn bản hợp nhất 2025)] Điều 34. Ứng dụng công nghệ thông tin trong lĩnh vực giáo dục và đào tạo:</w:t>
      </w:r>
    </w:p>
    <w:p w14:paraId="740FA433">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Khoản 1: "Nhà nước có chính sách khuyến khích ứng dụng công nghệ thông tin trong việc dạy, học, tuyển sinh, đào tạo và các hoạt động khác trong lĩnh vực giáo dục và đào tạo trên môi trường mạng."</w:t>
      </w:r>
    </w:p>
    <w:p w14:paraId="7ECE8D08">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Khoản 2: "Tổ chức, cá nhân tiến hành hoạt động giáo dục và đào tạo trên môi trường mạng phải tuân thủ quy định của Luật này và quy định của pháp luật về giáo dục."</w:t>
      </w:r>
    </w:p>
    <w:p w14:paraId="05E7E149">
      <w:pPr>
        <w:spacing w:after="60"/>
        <w:rPr>
          <w:rFonts w:hint="default" w:ascii="Times New Roman" w:hAnsi="Times New Roman" w:cs="Times New Roman"/>
        </w:rPr>
      </w:pPr>
      <w:r>
        <w:rPr>
          <w:rFonts w:hint="default" w:ascii="Times New Roman" w:hAnsi="Times New Roman" w:eastAsia="Times New Roman" w:cs="Times New Roman"/>
          <w:i/>
          <w:color w:val="404040"/>
          <w:sz w:val="21"/>
        </w:rPr>
        <w:t>[Luật Công nghệ thông tin (văn bản hợp nhất 2025)] Điều 9. Trách nhiệm của tổ chức, cá nhân tham gia hoạt động ứng dụng và phát triển công nghệ thông tin:</w:t>
      </w:r>
    </w:p>
    <w:p w14:paraId="08A424AA">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Khoản 1: "Tổ chức, cá nhân tham gia hoạt động ứng dụng công nghệ thông tin phải chịu trách nhiệm về nội dung thông tin số của mình trên môi trường mạng."</w:t>
      </w:r>
    </w:p>
    <w:p w14:paraId="1EEA92B4">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Khoản 2: "Tổ chức, cá nhân khi hoạt động kinh doanh trên môi trường mạng phải thông báo công khai trên môi trường những thông tin có liên quan..."</w:t>
      </w:r>
    </w:p>
    <w:p w14:paraId="502D51BE">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Tổng hợp hai luật:</w:t>
      </w:r>
    </w:p>
    <w:p w14:paraId="72B1D2B0">
      <w:pPr>
        <w:spacing w:after="60"/>
        <w:rPr>
          <w:rFonts w:hint="default" w:ascii="Times New Roman" w:hAnsi="Times New Roman" w:cs="Times New Roman"/>
        </w:rPr>
      </w:pPr>
      <w:r>
        <w:rPr>
          <w:rFonts w:hint="default" w:ascii="Times New Roman" w:hAnsi="Times New Roman" w:eastAsia="Times New Roman" w:cs="Times New Roman"/>
          <w:i/>
          <w:color w:val="404040"/>
          <w:sz w:val="21"/>
        </w:rPr>
        <w:t>[Luật Công nghệ thông tin (văn bản hợp nhất 2025)] Điều 34 quy định hoạt động giáo dục trên môi trường mạng phải tuân thủ Luật này và pháp luật về giáo dục.</w:t>
      </w:r>
    </w:p>
    <w:p w14:paraId="5C52CD8E">
      <w:pPr>
        <w:spacing w:after="60"/>
        <w:rPr>
          <w:rFonts w:hint="default" w:ascii="Times New Roman" w:hAnsi="Times New Roman" w:cs="Times New Roman"/>
        </w:rPr>
      </w:pPr>
      <w:r>
        <w:rPr>
          <w:rFonts w:hint="default" w:ascii="Times New Roman" w:hAnsi="Times New Roman" w:eastAsia="Times New Roman" w:cs="Times New Roman"/>
          <w:i/>
          <w:color w:val="404040"/>
          <w:sz w:val="21"/>
        </w:rPr>
        <w:t>[Luật Công nghệ thông tin (văn bản hợp nhất 2025)] Điều 9 quy định trách nhiệm về nội dung thông tin và thông báo công khai khi hoạt động kinh doanh trên môi trường mạng.</w:t>
      </w:r>
    </w:p>
    <w:p w14:paraId="1C58E0A6">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Kết hợp xác định: Giảng viên phải tuân thủ quy định về nội dung thông tin (Điều 9) và quy định về giáo dục (Điều 34). Việc sử dụng nền tảng nước ngoài không bị cấm trực tiếp nhưng phải đảm bảo nội dung tuân thủ pháp luật Việt Nam.</w:t>
      </w:r>
    </w:p>
    <w:p w14:paraId="5B3AA249">
      <w:pPr>
        <w:spacing w:before="160" w:after="60"/>
        <w:rPr>
          <w:rFonts w:hint="default" w:ascii="Times New Roman" w:hAnsi="Times New Roman" w:cs="Times New Roman"/>
        </w:rPr>
      </w:pPr>
      <w:r>
        <w:rPr>
          <w:rFonts w:hint="default" w:ascii="Times New Roman" w:hAnsi="Times New Roman" w:eastAsia="Times New Roman" w:cs="Times New Roman"/>
          <w:b/>
          <w:color w:val="548235"/>
          <w:sz w:val="24"/>
        </w:rPr>
        <w:t>BƯỚC 1 — XÁC ĐỊNH NGUYÊN TẮC GẦN NHẤT:</w:t>
      </w:r>
    </w:p>
    <w:p w14:paraId="65361856">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Nguyên tắc chủ quyền không gian mạng: Hoạt động trên môi trường mạng tại Việt Nam phải tuân thủ pháp luật Việt Nam, bất kể địa điểm cung cấp dịch vụ.</w:t>
      </w:r>
    </w:p>
    <w:p w14:paraId="2E8D168E">
      <w:pPr>
        <w:spacing w:before="160" w:after="60"/>
        <w:rPr>
          <w:rFonts w:hint="default" w:ascii="Times New Roman" w:hAnsi="Times New Roman" w:cs="Times New Roman"/>
        </w:rPr>
      </w:pPr>
      <w:r>
        <w:rPr>
          <w:rFonts w:hint="default" w:ascii="Times New Roman" w:hAnsi="Times New Roman" w:eastAsia="Times New Roman" w:cs="Times New Roman"/>
          <w:b/>
          <w:color w:val="548235"/>
          <w:sz w:val="24"/>
        </w:rPr>
        <w:t>BƯỚC 2 — PHÂN CÔNG TRÁCH NHIỆM:</w:t>
      </w:r>
    </w:p>
    <w:p w14:paraId="18DB095D">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Nhà nước: Giám sát nội dung thông tin và hoạt động giáo dục.</w:t>
      </w:r>
    </w:p>
    <w:p w14:paraId="0E64BF4A">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Giảng viên: Chịu trách nhiệm về nội dung giảng dạy và tuân thủ quy định về kinh doanh trên môi trường mạng (nếu có tính chất thương mại).</w:t>
      </w:r>
    </w:p>
    <w:p w14:paraId="3A369AC0">
      <w:pPr>
        <w:spacing w:before="160" w:after="60"/>
        <w:rPr>
          <w:rFonts w:hint="default" w:ascii="Times New Roman" w:hAnsi="Times New Roman" w:cs="Times New Roman"/>
        </w:rPr>
      </w:pPr>
      <w:r>
        <w:rPr>
          <w:rFonts w:hint="default" w:ascii="Times New Roman" w:hAnsi="Times New Roman" w:eastAsia="Times New Roman" w:cs="Times New Roman"/>
          <w:b/>
          <w:color w:val="548235"/>
          <w:sz w:val="24"/>
        </w:rPr>
        <w:t>BƯỚC 3 — MỨC ĐỘ CHẮC CHẮN:</w:t>
      </w:r>
    </w:p>
    <w:p w14:paraId="7F87A44A">
      <w:pPr>
        <w:spacing w:after="60"/>
        <w:ind w:left="360" w:right="216"/>
        <w:rPr>
          <w:rFonts w:hint="default" w:ascii="Times New Roman" w:hAnsi="Times New Roman" w:eastAsia="Times New Roman" w:cs="Times New Roman"/>
          <w:i/>
          <w:color w:val="404040"/>
          <w:sz w:val="21"/>
        </w:rPr>
      </w:pPr>
      <w:r>
        <w:rPr>
          <w:rFonts w:hint="default" w:ascii="Times New Roman" w:hAnsi="Times New Roman" w:eastAsia="Times New Roman" w:cs="Times New Roman"/>
          <w:i/>
          <w:color w:val="404040"/>
          <w:sz w:val="21"/>
        </w:rPr>
        <w:t>"Đây là suy luận từ nguyên tắc chủ quyền — luật chưa quy định tường minh về nền tảng nước ngoài."</w:t>
      </w:r>
    </w:p>
    <w:p w14:paraId="6EDD5DF5">
      <w:pPr>
        <w:spacing w:after="60"/>
        <w:ind w:left="360" w:right="216"/>
        <w:rPr>
          <w:rFonts w:hint="default" w:ascii="Times New Roman" w:hAnsi="Times New Roman" w:eastAsia="Times New Roman" w:cs="Times New Roman"/>
          <w:i/>
          <w:color w:val="404040"/>
          <w:sz w:val="21"/>
        </w:rPr>
      </w:pPr>
    </w:p>
    <w:p w14:paraId="0FCB9DF8">
      <w:pPr>
        <w:rPr>
          <w:rFonts w:hint="default" w:ascii="Times New Roman" w:hAnsi="Times New Roman" w:cs="Times New Roman"/>
        </w:rPr>
      </w:pPr>
      <w:r>
        <w:rPr>
          <w:rFonts w:hint="default" w:ascii="Times New Roman" w:hAnsi="Times New Roman" w:eastAsia="Times New Roman" w:cs="Times New Roman"/>
          <w:b/>
          <w:color w:val="548235"/>
          <w:sz w:val="32"/>
        </w:rPr>
        <w:t>Câu 9</w:t>
      </w:r>
    </w:p>
    <w:tbl>
      <w:tblPr>
        <w:tblStyle w:val="12"/>
        <w:tblW w:w="0" w:type="auto"/>
        <w:jc w:val="center"/>
        <w:tblLayout w:type="autofit"/>
        <w:tblCellMar>
          <w:top w:w="0" w:type="dxa"/>
          <w:left w:w="108" w:type="dxa"/>
          <w:bottom w:w="0" w:type="dxa"/>
          <w:right w:w="108" w:type="dxa"/>
        </w:tblCellMar>
      </w:tblPr>
      <w:tblGrid>
        <w:gridCol w:w="10080"/>
      </w:tblGrid>
      <w:tr w14:paraId="45715369">
        <w:tblPrEx>
          <w:tblCellMar>
            <w:top w:w="0" w:type="dxa"/>
            <w:left w:w="108" w:type="dxa"/>
            <w:bottom w:w="0" w:type="dxa"/>
            <w:right w:w="108" w:type="dxa"/>
          </w:tblCellMar>
        </w:tblPrEx>
        <w:trPr>
          <w:jc w:val="center"/>
        </w:trPr>
        <w:tc>
          <w:tcPr>
            <w:tcW w:w="10080" w:type="dxa"/>
            <w:tcBorders>
              <w:top w:val="single" w:color="A9D18E" w:sz="8" w:space="0"/>
              <w:left w:val="single" w:color="A9D18E" w:sz="8" w:space="0"/>
              <w:bottom w:val="single" w:color="A9D18E" w:sz="8" w:space="0"/>
              <w:right w:val="single" w:color="A9D18E" w:sz="8" w:space="0"/>
            </w:tcBorders>
            <w:shd w:val="clear" w:color="auto" w:fill="E2F0D9"/>
            <w:vAlign w:val="center"/>
          </w:tcPr>
          <w:p w14:paraId="2076A71D">
            <w:pPr>
              <w:spacing w:before="80" w:after="80"/>
              <w:rPr>
                <w:rFonts w:hint="default" w:ascii="Times New Roman" w:hAnsi="Times New Roman" w:cs="Times New Roman"/>
              </w:rPr>
            </w:pPr>
            <w:r>
              <w:rPr>
                <w:rFonts w:hint="default" w:ascii="Times New Roman" w:hAnsi="Times New Roman" w:eastAsia="Times New Roman" w:cs="Times New Roman"/>
                <w:b/>
                <w:color w:val="375623"/>
                <w:sz w:val="23"/>
              </w:rPr>
              <w:t>Câu hỏi</w:t>
            </w:r>
          </w:p>
          <w:p w14:paraId="4F23FEB9">
            <w:pPr>
              <w:spacing w:after="60"/>
              <w:jc w:val="both"/>
              <w:rPr>
                <w:rFonts w:hint="default" w:ascii="Times New Roman" w:hAnsi="Times New Roman" w:cs="Times New Roman"/>
              </w:rPr>
            </w:pPr>
            <w:r>
              <w:rPr>
                <w:rFonts w:hint="default" w:ascii="Times New Roman" w:hAnsi="Times New Roman" w:eastAsia="Times New Roman" w:cs="Times New Roman"/>
                <w:sz w:val="22"/>
              </w:rPr>
              <w:t>Một cơ quan nhà nước mua phần mềm quản lý nhân sự từ một công ty tư nhân. Hợp đồng không quy định về mã nguồn. Sau 3 năm, công ty phá sản, phần mềm không còn được bảo trì. Cơ quan muốn thuê công ty khác tiếp tục phát triển nhưng không có mã nguồn. Công ty mới yêu cầu tiếp cận máy chủ để reverse engineer. Xác định: cơ quan có quyền yêu cầu bàn giao mã nguồn không và dựa trên cơ sở pháp lý nào trong Luật CNTT; reverse engineering phần mềm thương mại có vi phạm quy định nào không; và ai chịu trách nhiệm về rủi ro gián đoạn hệ thống thông tin của cơ quan nhà nước.</w:t>
            </w:r>
          </w:p>
        </w:tc>
      </w:tr>
    </w:tbl>
    <w:p w14:paraId="6987DD11">
      <w:pPr>
        <w:spacing w:before="160" w:after="80"/>
        <w:rPr>
          <w:rFonts w:hint="default" w:ascii="Times New Roman" w:hAnsi="Times New Roman" w:cs="Times New Roman"/>
        </w:rPr>
      </w:pPr>
      <w:r>
        <w:rPr>
          <w:rFonts w:hint="default" w:ascii="Times New Roman" w:hAnsi="Times New Roman" w:eastAsia="Times New Roman" w:cs="Times New Roman"/>
          <w:b/>
          <w:color w:val="1F4E79"/>
          <w:sz w:val="26"/>
        </w:rPr>
        <w:t>Câu trả lời</w:t>
      </w:r>
    </w:p>
    <w:p w14:paraId="2F9F6599">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1. Quyền yêu cầu bàn giao mã nguồn khi đối tác phá sản</w:t>
      </w:r>
    </w:p>
    <w:p w14:paraId="7CDAD23E">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Trạng thái: B — Khoảng trống quy định cụ thể.</w:t>
      </w:r>
    </w:p>
    <w:p w14:paraId="46158EAD">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Căn cứ: Văn bản không quy định cụ thể về nghĩa vụ bàn giao mã nguồn trong trường hợp đối tác phá sản hoặc chấm dứt hợp đồng.</w:t>
      </w:r>
    </w:p>
    <w:p w14:paraId="04260474">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Phân tích:</w:t>
      </w:r>
    </w:p>
    <w:p w14:paraId="1B45DD13">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Công nghệ thông tin (văn bản hợp nhất 2025) Điều 4, Khoản 13 chỉ định nghĩa "Mã nguồn" là sản phẩm trước biên dịch, không quy định chế tài hay nghĩa vụ chuyển giao.</w:t>
      </w:r>
    </w:p>
    <w:p w14:paraId="1CC11101">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Văn bản không có điều khoản bắt buộc chủ đầu tư (cơ quan nhà nước) có quyền yêu cầu bàn giao mã nguồn khi nhà cung cấp chấm dứt hoạt động.</w:t>
      </w:r>
    </w:p>
    <w:p w14:paraId="65327A67">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Suy luận bù khoảng trống:</w:t>
      </w:r>
    </w:p>
    <w:p w14:paraId="2D85F306">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Nguyên tắc: Theo Luật Công nghệ thông tin (văn bản hợp nhất 2025) Điều 24, Khoản 6, cơ quan nhà nước phải "Bảo đảm an ninh, an toàn...". Khi nhà cung cấp phá sản, cơ quan nhà nước vẫn là chủ quản hệ thống thông tin.</w:t>
      </w:r>
    </w:p>
    <w:p w14:paraId="38F70721">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Trách nhiệm: Cơ quan nhà nước chịu trách nhiệm duy trì hoạt động hệ thống. Việc không có mã nguồn là rủi ro thuộc về chủ sở hữu hệ thống (cơ quan nhà nước) nếu hợp đồng không quy định rõ quyền sở hữu trí tuệ hoặc chuyển giao mã nguồn.</w:t>
      </w:r>
    </w:p>
    <w:p w14:paraId="634D9555">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Kết luận: Đây là khoảng trống thực sự trong Luật CNTT. Cơ quan nhà nước khó có cơ sở pháp lý trực tiếp trong Luật CNTT để yêu cầu bàn giao mã nguồn từ bên thứ ba (nhà cung cấp cũ) khi đã phá sản.</w:t>
      </w:r>
    </w:p>
    <w:p w14:paraId="0C18B2E6">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2. Tính hợp pháp của việc reverse engineering</w:t>
      </w:r>
    </w:p>
    <w:p w14:paraId="37A4550F">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Trạng thái: B — Khoảng trống quy định cụ thể.</w:t>
      </w:r>
    </w:p>
    <w:p w14:paraId="094EF11D">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Căn cứ:</w:t>
      </w:r>
    </w:p>
    <w:p w14:paraId="183D85CC">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Công nghệ thông tin (văn bản hợp nhất 2025) Điều 12, Khoản 3: "Xâm phạm quyền sở hữu trí tuệ trong hoạt động công nghệ thông tin; sản xuất, lưu hành sản phẩm công nghệ thông tin trái pháp luật".</w:t>
      </w:r>
    </w:p>
    <w:p w14:paraId="7A9547E3">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7, Khoản 4: Cấm "Sản xuất, đưa vào sử dụng công cụ, phương tiện, phần mềm hoặc có hành vi cản trở, gây rối loạn...".</w:t>
      </w:r>
    </w:p>
    <w:p w14:paraId="34352F31">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Phân tích:</w:t>
      </w:r>
    </w:p>
    <w:p w14:paraId="55DF8D60">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không định nghĩa cụ thể hành vi "reverse engineering" (phân tích ngược) là hợp pháp hay bất hợp pháp trong mọi trường hợp.</w:t>
      </w:r>
    </w:p>
    <w:p w14:paraId="28343A87">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Hành vi này có thể bị coi là "Xâm phạm quyền sở hữu trí tuệ" nếu vi phạm bản quyền phần mềm.</w:t>
      </w:r>
    </w:p>
    <w:p w14:paraId="5DB65569">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Suy luận bù khoảng trống:</w:t>
      </w:r>
    </w:p>
    <w:p w14:paraId="4730939D">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Nhà nước: Có thẩm quyền điều tra nếu hành vi xâm phạm an ninh mạng hoặc sở hữu trí tuệ.</w:t>
      </w:r>
    </w:p>
    <w:p w14:paraId="73B5E56E">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Doanh nghiệp (Công ty mới): Phải tuân thủ quy định về sở hữu trí tuệ. Tiếp cận máy chủ để phân tích ngược mà không có sự đồng ý của chủ sở hữu phần mềm (hoặc chủ quản hệ thống) có thể vi phạm Điều 12 Khoản 3 Luật CNTT.</w:t>
      </w:r>
    </w:p>
    <w:p w14:paraId="6F2763FB">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Kết luận: Đây là khoảng trống thực sự. Việc reverse engineering phụ thuộc vào diễn giải về quyền sở hữu trí tuệ; văn bản không cung cấp tiêu chí quyết định tính hợp pháp cụ thể cho hành vi này.</w:t>
      </w:r>
    </w:p>
    <w:p w14:paraId="22E9D480">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3. Chủ thể chịu trách nhiệm rủi ro gián đoạn hệ thống</w:t>
      </w:r>
    </w:p>
    <w:p w14:paraId="1C4878F0">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Trạng thái: A — Luật rõ + Đủ.</w:t>
      </w:r>
    </w:p>
    <w:p w14:paraId="24BD4F02">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Căn cứ:</w:t>
      </w:r>
    </w:p>
    <w:p w14:paraId="1363BBFB">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Công nghệ thông tin (văn bản hợp nhất 2025) Điều 24, Khoản 6: "Bảo đảm an ninh, an toàn, tiết kiệm và có hiệu quả".</w:t>
      </w:r>
    </w:p>
    <w:p w14:paraId="4FF85589">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Công nghệ thông tin (văn bản hợp nhất 2025) Điều 24, Khoản 7: "Người đứng đầu cơ quan nhà nước phải chịu trách nhiệm về việc ứng dụng công nghệ thông tin thuộc thẩm quyền quản lý của mình".</w:t>
      </w:r>
    </w:p>
    <w:p w14:paraId="3A4144B2">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Công nghệ thông tin (văn bản hợp nhất 2025) Điều 7, Khoản 1: "Chính phủ thống nhất quản lý nhà nước về công nghệ thông tin".</w:t>
      </w:r>
    </w:p>
    <w:p w14:paraId="52B56DE1">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Phân tích:</w:t>
      </w:r>
    </w:p>
    <w:p w14:paraId="559EF495">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Cơ quan nhà nước là chủ quản hệ thống thông tin.</w:t>
      </w:r>
    </w:p>
    <w:p w14:paraId="397CBCE0">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Khi nhà cung cấp phá sản, trách nhiệm bảo đảm an toàn, an ninh và hiệu quả của hệ thống vẫn thuộc về cơ quan nhà nước (chủ quản).</w:t>
      </w:r>
    </w:p>
    <w:p w14:paraId="7B328ED5">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Kết luận: Cơ quan nhà nước chịu trách nhiệm về rủi ro gián đoạn hệ thống thông tin của mình.</w:t>
      </w:r>
    </w:p>
    <w:p w14:paraId="38F42E86">
      <w:pPr>
        <w:rPr>
          <w:rFonts w:hint="default" w:ascii="Times New Roman" w:hAnsi="Times New Roman" w:cs="Times New Roman"/>
        </w:rPr>
      </w:pPr>
      <w:r>
        <w:rPr>
          <w:rFonts w:hint="default" w:ascii="Times New Roman" w:hAnsi="Times New Roman" w:cs="Times New Roman"/>
        </w:rPr>
        <w:br w:type="page"/>
      </w:r>
    </w:p>
    <w:p w14:paraId="5460E51A">
      <w:pPr>
        <w:pStyle w:val="2"/>
        <w:spacing w:before="160" w:after="120"/>
        <w:rPr>
          <w:rFonts w:hint="default" w:ascii="Times New Roman" w:hAnsi="Times New Roman" w:cs="Times New Roman"/>
        </w:rPr>
      </w:pPr>
      <w:r>
        <w:rPr>
          <w:rFonts w:hint="default" w:ascii="Times New Roman" w:hAnsi="Times New Roman" w:eastAsia="Times New Roman" w:cs="Times New Roman"/>
          <w:b/>
          <w:color w:val="548235"/>
          <w:sz w:val="32"/>
        </w:rPr>
        <w:t>Câu 10</w:t>
      </w:r>
    </w:p>
    <w:tbl>
      <w:tblPr>
        <w:tblStyle w:val="12"/>
        <w:tblW w:w="0" w:type="auto"/>
        <w:jc w:val="center"/>
        <w:tblLayout w:type="autofit"/>
        <w:tblCellMar>
          <w:top w:w="0" w:type="dxa"/>
          <w:left w:w="108" w:type="dxa"/>
          <w:bottom w:w="0" w:type="dxa"/>
          <w:right w:w="108" w:type="dxa"/>
        </w:tblCellMar>
      </w:tblPr>
      <w:tblGrid>
        <w:gridCol w:w="10080"/>
      </w:tblGrid>
      <w:tr w14:paraId="69F00F75">
        <w:tblPrEx>
          <w:tblCellMar>
            <w:top w:w="0" w:type="dxa"/>
            <w:left w:w="108" w:type="dxa"/>
            <w:bottom w:w="0" w:type="dxa"/>
            <w:right w:w="108" w:type="dxa"/>
          </w:tblCellMar>
        </w:tblPrEx>
        <w:trPr>
          <w:jc w:val="center"/>
        </w:trPr>
        <w:tc>
          <w:tcPr>
            <w:tcW w:w="10080" w:type="dxa"/>
            <w:tcBorders>
              <w:top w:val="single" w:color="A9D18E" w:sz="8" w:space="0"/>
              <w:left w:val="single" w:color="A9D18E" w:sz="8" w:space="0"/>
              <w:bottom w:val="single" w:color="A9D18E" w:sz="8" w:space="0"/>
              <w:right w:val="single" w:color="A9D18E" w:sz="8" w:space="0"/>
            </w:tcBorders>
            <w:shd w:val="clear" w:color="auto" w:fill="E2F0D9"/>
            <w:vAlign w:val="center"/>
          </w:tcPr>
          <w:p w14:paraId="360E643B">
            <w:pPr>
              <w:spacing w:before="80" w:after="80"/>
              <w:rPr>
                <w:rFonts w:hint="default" w:ascii="Times New Roman" w:hAnsi="Times New Roman" w:cs="Times New Roman"/>
              </w:rPr>
            </w:pPr>
            <w:r>
              <w:rPr>
                <w:rFonts w:hint="default" w:ascii="Times New Roman" w:hAnsi="Times New Roman" w:eastAsia="Times New Roman" w:cs="Times New Roman"/>
                <w:b/>
                <w:color w:val="375623"/>
                <w:sz w:val="23"/>
              </w:rPr>
              <w:t>Câu hỏi</w:t>
            </w:r>
          </w:p>
          <w:p w14:paraId="69BE2B79">
            <w:pPr>
              <w:spacing w:after="60"/>
              <w:jc w:val="both"/>
              <w:rPr>
                <w:rFonts w:hint="default" w:ascii="Times New Roman" w:hAnsi="Times New Roman" w:cs="Times New Roman"/>
              </w:rPr>
            </w:pPr>
            <w:r>
              <w:rPr>
                <w:rFonts w:hint="default" w:ascii="Times New Roman" w:hAnsi="Times New Roman" w:eastAsia="Times New Roman" w:cs="Times New Roman"/>
                <w:sz w:val="22"/>
              </w:rPr>
              <w:t>Một doanh nghiệp nước ngoài cung cấp dịch vụ điện toán đám mây cho nhiều cơ quan nhà nước Việt Nam, lưu trữ toàn bộ dữ liệu tại server đặt tại Hà Lan. Doanh nghiệp có văn phòng đại diện tại Việt Nam nhưng không đủ thẩm quyền ký hợp đồng. Trong một cuộc thanh tra, cơ quan chức năng phát hiện dữ liệu hành chính công (không phải bí mật nhà nước) đang lưu ở nước ngoài. Xác định: việc lưu trữ dữ liệu hành chính công của cơ quan nhà nước ở nước ngoài có vi phạm Luật CNTT không; văn phòng đại diện không có thẩm quyền ký hợp đồng ảnh hưởng thế nào đến giá trị pháp lý của hợp đồng đã ký; và cơ quan nhà nước sử dụng dịch vụ này có bị liên đới xử lý không.</w:t>
            </w:r>
          </w:p>
        </w:tc>
      </w:tr>
    </w:tbl>
    <w:p w14:paraId="00E0D756">
      <w:pPr>
        <w:spacing w:before="160" w:after="80"/>
        <w:rPr>
          <w:rFonts w:hint="default" w:ascii="Times New Roman" w:hAnsi="Times New Roman" w:cs="Times New Roman"/>
        </w:rPr>
      </w:pPr>
      <w:r>
        <w:rPr>
          <w:rFonts w:hint="default" w:ascii="Times New Roman" w:hAnsi="Times New Roman" w:eastAsia="Times New Roman" w:cs="Times New Roman"/>
          <w:b/>
          <w:color w:val="1F4E79"/>
          <w:sz w:val="26"/>
        </w:rPr>
        <w:t>Câu trả lời</w:t>
      </w:r>
    </w:p>
    <w:p w14:paraId="5B27B1E7">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1. Về việc lưu trữ dữ liệu hành chính công tại nước ngoài</w:t>
      </w:r>
    </w:p>
    <w:p w14:paraId="27C423EF">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Trạng thái: B (Luật có quy định chung về an ninh nhưng thiếu quy định cụ thể về vị trí lưu trữ)</w:t>
      </w:r>
    </w:p>
    <w:p w14:paraId="13C165BF">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Quy định hiện hành: Luật Công nghệ thông tin không quy định cụ thể về vị trí lưu trữ dữ liệu hành chính công.</w:t>
      </w:r>
    </w:p>
    <w:p w14:paraId="4C967D24">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Công nghệ thông tin (văn bản hợp nhất 2025)] Điều 15, Khoản 3: "Việc cung cấp, trao đổi, truyền đưa, lưu trữ, sử dụng thông tin số phải bảo đảm không vi phạm quy định tại khoản 2 Điều 12 của Luật này và các quy định khác của pháp luật có liên quan."</w:t>
      </w:r>
    </w:p>
    <w:p w14:paraId="2C02C4B7">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25, Khoản 2: "Doanh nghiệp trong nước và nước ngoài khi cung cấp dịch vụ trên mạng viễn thông, mạng Internet... có trách nhiệm sau đây: a) X..." (Quy định về bảo mật, xác thực, cung cấp thông tin).</w:t>
      </w:r>
    </w:p>
    <w:p w14:paraId="59B58844">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Phân tích khoảng trống: Văn bản không cấm lưu trữ dữ liệu hành chính công tại nước ngoài, nhưng yêu cầu bảo đảm an ninh, an toàn và tuân thủ pháp luật liên quan.</w:t>
      </w:r>
    </w:p>
    <w:p w14:paraId="3A1BA0EF">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Suy luận bù khoảng trống:</w:t>
      </w:r>
    </w:p>
    <w:p w14:paraId="68B103A3">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Nguyên tắc: Dữ liệu hành chính công thuộc phạm vi quản lý nhà nước. Theo nguyên tắc quản lý thống nhất, dữ liệu liên quan đến hoạt động công cộng tại Việt Nam phải được bảo đảm an ninh quốc gia và chủ quyền dữ liệu.</w:t>
      </w:r>
    </w:p>
    <w:p w14:paraId="0F3D46FD">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Phân công trách nhiệm:</w:t>
      </w:r>
    </w:p>
    <w:p w14:paraId="43189BAD">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Nhà nước: Có thẩm quyền yêu cầu doanh nghiệp di chuyển dữ liệu hoặc áp dụng biện pháp kỹ thuật nếu dữ liệu gây rủi ro an ninh (căn cứ nguyên tắc quản lý thống nhất).</w:t>
      </w:r>
    </w:p>
    <w:p w14:paraId="15072D35">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Doanh nghiệp: Phải thực hiện biện pháp bảo mật, xác thực và cung cấp thông tin theo yêu cầu của cơ quan nhà nước có thẩm quyền (căn cứ [Luật An ninh mạng 2025] Điều 25).</w:t>
      </w:r>
    </w:p>
    <w:p w14:paraId="7054BC93">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Mức độ chắc chắn: Đây là suy luận từ nguyên tắc an ninh mạng và quản lý nhà nước — luật chưa quy định tường minh về vị trí lưu trữ bắt buộc cho dữ liệu hành chính công.</w:t>
      </w:r>
    </w:p>
    <w:p w14:paraId="59D53840">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2. Về giá trị hợp đồng do văn phòng đại diện ký khi không đủ thẩm quyền</w:t>
      </w:r>
    </w:p>
    <w:p w14:paraId="6B72BBD6">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Trạng thái: C (Luật không quy định cụ thể về giá trị hợp đồng đại diện)</w:t>
      </w:r>
    </w:p>
    <w:p w14:paraId="489C218B">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Quy định hiện hành: Luật Công nghệ thông tin và Luật Viễn thông không quy định về giá trị pháp lý của hợp đồng ký bởi văn phòng đại diện khi vượt thẩm quyền.</w:t>
      </w:r>
    </w:p>
    <w:p w14:paraId="591216E8">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Công nghệ thông tin (văn bản hợp nhất 2025)] Điều 9, Khoản 2: "Tổ chức, cá nhân khi hoạt động kinh doanh trên môi trường mạng phải thông báo công khai trên môi trường những thông tin có liên quan..." (Chỉ quy định nghĩa vụ thông báo, không quy định hiệu lực hợp đồng).</w:t>
      </w:r>
    </w:p>
    <w:p w14:paraId="366C3E48">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Viễn thông 2023] Điều 28, Khoản 2: "Doanh nghiệp cung cấp dịch vụ trung tâm dữ liệu... có các nghĩa vụ sau đây: a) Thực hiện việc đăng ký, thông báo cung cấp dịch vụ viễn thông..." (Chỉ quy định nghĩa vụ đăng ký).</w:t>
      </w:r>
    </w:p>
    <w:p w14:paraId="1C0B99AE">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Phân tích khoảng trống: Các văn bản này tập trung vào nghĩa vụ kỹ thuật và quản lý nhà nước đối với dịch vụ, không điều chỉnh quan hệ dân sự về hợp đồng đại lý.</w:t>
      </w:r>
    </w:p>
    <w:p w14:paraId="4906165B">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Suy luận bù khoảng trống:</w:t>
      </w:r>
    </w:p>
    <w:p w14:paraId="0FA2DCA1">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Nguyên tắc: Giá trị hợp đồng do văn phòng đại diện ký khi vượt thẩm quyền thuộc phạm vi điều chỉnh của Bộ luật Dân sự (nguyên tắc đại diện).</w:t>
      </w:r>
    </w:p>
    <w:p w14:paraId="5EF0172C">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Phân công trách nhiệm:</w:t>
      </w:r>
    </w:p>
    <w:p w14:paraId="6BA5E0D7">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Doanh nghiệp: Chịu trách nhiệm về hành vi của đại diện theo pháp luật dân sự.</w:t>
      </w:r>
    </w:p>
    <w:p w14:paraId="46D8A0FD">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Cơ quan nhà nước: Không chịu trách nhiệm pháp lý về hợp đồng dân sự này, nhưng có quyền thanh tra, xử lý nếu doanh nghiệp vi phạm quy định về đăng ký kinh doanh hoặc cung cấp dịch vụ.</w:t>
      </w:r>
    </w:p>
    <w:p w14:paraId="35609779">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Mức độ chắc chắn: Đây là khoảng trống thực sự trong phạm vi Luật Công nghệ thông tin — cần quy định chi tiết của Chính phủ hoặc áp dụng pháp luật dân sự.</w:t>
      </w:r>
    </w:p>
    <w:p w14:paraId="4315F710">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375623"/>
          <w:sz w:val="26"/>
        </w:rPr>
        <w:t>3. Về trách nhiệm liên đới của cơ quan nhà nước sử dụng dịch vụ</w:t>
      </w:r>
    </w:p>
    <w:p w14:paraId="122D8A41">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Trạng thái: B (Luật có quy định trách nhiệm chung nhưng thiếu quy định cụ thể về liên đới)</w:t>
      </w:r>
    </w:p>
    <w:p w14:paraId="77A591ED">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Quy định hiện hành: Luật quy định trách nhiệm xử lý vi phạm và nguyên tắc ứng dụng công nghệ thông tin của cơ quan nhà nước.</w:t>
      </w:r>
    </w:p>
    <w:p w14:paraId="69EFDD91">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Công nghệ thông tin (văn bản hợp nhất 2025)] Điều 77, Khoản 1: "Cá nhân có hành vi vi phạm pháp luật về công nghệ thông tin thì tùy theo tính chất, mức độ vi phạm mà bị xử lý kỷ luật, xử phạt hành chính hoặc bị truy cứu trách nhiệm hình sự..."</w:t>
      </w:r>
    </w:p>
    <w:p w14:paraId="7A8DB3E8">
      <w:pPr>
        <w:spacing w:after="60"/>
        <w:rPr>
          <w:rFonts w:hint="default" w:ascii="Times New Roman" w:hAnsi="Times New Roman" w:cs="Times New Roman"/>
        </w:rPr>
      </w:pPr>
      <w:r>
        <w:rPr>
          <w:rFonts w:hint="default" w:ascii="Times New Roman" w:hAnsi="Times New Roman" w:eastAsia="Times New Roman" w:cs="Times New Roman"/>
          <w:i/>
          <w:color w:val="404040"/>
          <w:sz w:val="21"/>
        </w:rPr>
        <w:t>[Luật Công nghệ thông tin (văn bản hợp nhất 2025)] Điều 24, Khoản 6: "Bảo đảm an ninh, an toàn, tiết kiệm và có hiệu quả."</w:t>
      </w:r>
    </w:p>
    <w:p w14:paraId="24CF2C5A">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Phân tích khoảng trống: Luật không quy định cụ thể cơ chế "trách nhiệm liên đới" giữa cơ quan nhà nước sử dụng và doanh nghiệp cung cấp dịch vụ khi xảy ra vi phạm về vị trí lưu trữ.</w:t>
      </w:r>
    </w:p>
    <w:p w14:paraId="0E62D8D8">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Suy luận bù khoảng trống:</w:t>
      </w:r>
    </w:p>
    <w:p w14:paraId="329392FA">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Nguyên tắc: Cơ quan nhà nước có nghĩa vụ bảo đảm an toàn, an ninh trong hoạt động ứng dụng công nghệ thông tin.</w:t>
      </w:r>
    </w:p>
    <w:p w14:paraId="375C9AEA">
      <w:pPr>
        <w:spacing w:before="100" w:after="40"/>
        <w:rPr>
          <w:rFonts w:hint="default" w:ascii="Times New Roman" w:hAnsi="Times New Roman" w:cs="Times New Roman"/>
        </w:rPr>
      </w:pPr>
      <w:r>
        <w:rPr>
          <w:rFonts w:hint="default" w:ascii="Times New Roman" w:hAnsi="Times New Roman" w:eastAsia="Times New Roman" w:cs="Times New Roman"/>
          <w:b/>
          <w:color w:val="548235"/>
          <w:sz w:val="22"/>
        </w:rPr>
        <w:t>Phân công trách nhiệm:</w:t>
      </w:r>
    </w:p>
    <w:p w14:paraId="70C00C2E">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Cơ quan nhà nước: Chịu trách nhiệm về việc lựa chọn nhà cung cấp và giám sát an ninh hệ thống. Nếu không thực hiện nghĩa vụ này, có thể bị xử lý kỷ luật, xử phạt hành chính (căn cứ [Luật Công nghệ thông tin (văn bản hợp nhất 2025)] Điều 77).</w:t>
      </w:r>
    </w:p>
    <w:p w14:paraId="571EBE71">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Doanh nghiệp: Chịu trách nhiệm về an ninh dịch vụ và tuân thủ quy định lưu trữ.</w:t>
      </w:r>
    </w:p>
    <w:p w14:paraId="4CDCEAA1">
      <w:pPr>
        <w:spacing w:after="60"/>
        <w:ind w:firstLine="259"/>
        <w:jc w:val="both"/>
        <w:rPr>
          <w:rFonts w:hint="default" w:ascii="Times New Roman" w:hAnsi="Times New Roman" w:eastAsia="Times New Roman" w:cs="Times New Roman"/>
          <w:sz w:val="22"/>
        </w:rPr>
      </w:pPr>
      <w:r>
        <w:rPr>
          <w:rFonts w:hint="default" w:ascii="Times New Roman" w:hAnsi="Times New Roman" w:eastAsia="Times New Roman" w:cs="Times New Roman"/>
          <w:sz w:val="22"/>
        </w:rPr>
        <w:t>Mức độ chắc chắn: Đây là suy luận từ nguyên tắc quản lý nhà nước — luật chưa quy định tường minh về trách nhiệm liên đới cụ thể cho trường hợp này.</w:t>
      </w:r>
    </w:p>
    <w:p w14:paraId="17BF07C6">
      <w:pPr>
        <w:spacing w:after="60"/>
        <w:ind w:firstLine="259"/>
        <w:jc w:val="both"/>
        <w:rPr>
          <w:rFonts w:hint="default" w:ascii="Times New Roman" w:hAnsi="Times New Roman" w:eastAsia="Times New Roman" w:cs="Times New Roman"/>
          <w:sz w:val="22"/>
        </w:rPr>
      </w:pPr>
    </w:p>
    <w:p w14:paraId="314E6E61">
      <w:pPr>
        <w:spacing w:after="60"/>
        <w:ind w:firstLine="259"/>
        <w:jc w:val="both"/>
        <w:rPr>
          <w:rFonts w:hint="default" w:ascii="Times New Roman" w:hAnsi="Times New Roman" w:eastAsia="Times New Roman" w:cs="Times New Roman"/>
          <w:sz w:val="22"/>
        </w:rPr>
      </w:pPr>
    </w:p>
    <w:p w14:paraId="5C2E922D">
      <w:pPr>
        <w:spacing w:after="60"/>
        <w:ind w:firstLine="259"/>
        <w:jc w:val="both"/>
        <w:rPr>
          <w:rFonts w:hint="default" w:ascii="Times New Roman" w:hAnsi="Times New Roman" w:eastAsia="Times New Roman" w:cs="Times New Roman"/>
          <w:sz w:val="22"/>
        </w:rPr>
      </w:pPr>
    </w:p>
    <w:p w14:paraId="21FB96F5">
      <w:pPr>
        <w:spacing w:after="60"/>
        <w:ind w:firstLine="259"/>
        <w:jc w:val="both"/>
        <w:rPr>
          <w:rFonts w:hint="default" w:ascii="Times New Roman" w:hAnsi="Times New Roman" w:eastAsia="Times New Roman" w:cs="Times New Roman"/>
          <w:sz w:val="22"/>
        </w:rPr>
      </w:pPr>
    </w:p>
    <w:p w14:paraId="592445E8">
      <w:pPr>
        <w:spacing w:after="60"/>
        <w:ind w:firstLine="259"/>
        <w:jc w:val="both"/>
        <w:rPr>
          <w:rFonts w:hint="default" w:ascii="Times New Roman" w:hAnsi="Times New Roman" w:eastAsia="Times New Roman" w:cs="Times New Roman"/>
          <w:sz w:val="22"/>
        </w:rPr>
      </w:pPr>
    </w:p>
    <w:p w14:paraId="3228ADA6">
      <w:pPr>
        <w:spacing w:after="60"/>
        <w:ind w:firstLine="259"/>
        <w:jc w:val="both"/>
        <w:rPr>
          <w:rFonts w:hint="default" w:ascii="Times New Roman" w:hAnsi="Times New Roman" w:eastAsia="Times New Roman" w:cs="Times New Roman"/>
          <w:sz w:val="22"/>
        </w:rPr>
      </w:pPr>
    </w:p>
    <w:p w14:paraId="00657752">
      <w:pPr>
        <w:pStyle w:val="3"/>
        <w:keepNext w:val="0"/>
        <w:keepLines w:val="0"/>
        <w:widowControl/>
        <w:suppressLineNumbers w:val="0"/>
        <w:rPr>
          <w:rFonts w:hint="default" w:ascii="Times New Roman" w:hAnsi="Times New Roman" w:cs="Times New Roman"/>
          <w:color w:val="9BBB59" w:themeColor="accent3"/>
          <w:lang w:val="vi-VN"/>
          <w14:textFill>
            <w14:solidFill>
              <w14:schemeClr w14:val="accent3"/>
            </w14:solidFill>
          </w14:textFill>
        </w:rPr>
      </w:pPr>
      <w:r>
        <w:rPr>
          <w:rFonts w:hint="default" w:ascii="Times New Roman" w:hAnsi="Times New Roman" w:cs="Times New Roman"/>
          <w:color w:val="9BBB59" w:themeColor="accent3"/>
          <w14:textFill>
            <w14:solidFill>
              <w14:schemeClr w14:val="accent3"/>
            </w14:solidFill>
          </w14:textFill>
        </w:rPr>
        <w:t>🔴</w:t>
      </w:r>
      <w:r>
        <w:rPr>
          <w:rFonts w:hint="default" w:ascii="Times New Roman" w:hAnsi="Times New Roman" w:cs="Times New Roman"/>
          <w:color w:val="9BBB59" w:themeColor="accent3"/>
          <w14:textFill>
            <w14:solidFill>
              <w14:schemeClr w14:val="accent3"/>
            </w14:solidFill>
          </w14:textFill>
        </w:rPr>
        <w:t xml:space="preserve"> LUẬT CÔNG NGHỆ THÔNG TIN</w:t>
      </w:r>
      <w:r>
        <w:rPr>
          <w:rFonts w:hint="default" w:ascii="Times New Roman" w:hAnsi="Times New Roman" w:cs="Times New Roman"/>
          <w:color w:val="9BBB59" w:themeColor="accent3"/>
          <w:lang w:val="vi-VN"/>
          <w14:textFill>
            <w14:solidFill>
              <w14:schemeClr w14:val="accent3"/>
            </w14:solidFill>
          </w14:textFill>
        </w:rPr>
        <w:t xml:space="preserve"> - CHẤM ĐIỂM CÂU TRẢ LỜI</w:t>
      </w:r>
    </w:p>
    <w:p w14:paraId="3AE6ACEE">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1 — 8/10</w:t>
      </w:r>
      <w:r>
        <w:rPr>
          <w:rFonts w:hint="default" w:ascii="Times New Roman" w:hAnsi="Times New Roman" w:cs="Times New Roman"/>
        </w:rPr>
        <w:t xml:space="preserve"> Cải thiện đáng kể. Điều 30 khoản 3 về trách nhiệm của chủ sở hữu trang bán hàng — đúng và đây là điểm bị bỏ sót lần trước. Điều 16 khoản 4 về miễn trách khi chỉ truyền đưa — đúng. Điều 16 khoản 3 về nghĩa vụ loại bỏ "kịp thời" khi biết vi phạm — đúng. Trừ 2 điểm vì thời hạn xử lý khiếu nại vẫn không tìm được căn cứ cụ thể và dừng ở "kịp thời". Điều này đúng là khoảng trống thực nhưng câu trả lời nên phân tích thêm: trong lĩnh vực TMĐT, quy định chi tiết thường nằm ở Nghị định 52/2013 hoặc 85/2021 — có thể nêu điều này dù nằm ngoài Luật CNTT.</w:t>
      </w:r>
    </w:p>
    <w:p w14:paraId="1B7DBDE8">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2 — 9/10</w:t>
      </w:r>
      <w:r>
        <w:rPr>
          <w:rFonts w:hint="default" w:ascii="Times New Roman" w:hAnsi="Times New Roman" w:cs="Times New Roman"/>
        </w:rPr>
        <w:t xml:space="preserve"> Xuất sắc. Điều 9 khoản 4 điểm h về nghĩa vụ hoạt động liên tục trừ bất khả kháng — lần này tìm đúng điều khoản cốt lõi nhất mà lần trước bỏ sót. Lỗi nhà thầu không phải bất khả kháng của cơ quan nhà nước — đúng. Người dân đòi bồi thường từ cơ quan nhà nước, cơ quan nhà nước khiếu kiện nhà thầu — đúng chuỗi trách nhiệm. Trừ 1 điểm vì không phân tích: điều khoản "trừ trường hợp bất khả kháng" trong Điều 9 khoản 4 điểm h — lỗi kỹ thuật hạ tầng do nhà thầu có được coi là bất khả kháng với cơ quan nhà nước không? Câu trả lời nói không nhưng không phân tích đủ sâu tiêu chí bất khả kháng.</w:t>
      </w:r>
    </w:p>
    <w:p w14:paraId="6ECF96A8">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3 — 9/10</w:t>
      </w:r>
      <w:r>
        <w:rPr>
          <w:rFonts w:hint="default" w:ascii="Times New Roman" w:hAnsi="Times New Roman" w:cs="Times New Roman"/>
        </w:rPr>
        <w:t xml:space="preserve"> Giữ chất lượng cao. Lập luận startup sai — Điều 35 khoản 2 quy định phải tuân thủ cả hai, Điều 3 khoản 1 không thể dùng để miễn luật chuyên ngành. Bộ Y tế có thẩm quyền theo Điều 35 khoản 3. Trừ 1 điểm vì ranh giới "cung cấp nền tảng kết nối" vs "tiến hành hoạt động y tế trên môi trường mạng" là điểm tranh luận thực tiễn quan trọng — khi bác sĩ kê đơn thì rõ là hành nghề y, nhưng nếu chỉ video call thì ranh giới mờ hơn. Câu trả lời không phân tích ranh giới này.</w:t>
      </w:r>
    </w:p>
    <w:p w14:paraId="6896C760">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4 — 8/10</w:t>
      </w:r>
      <w:r>
        <w:rPr>
          <w:rFonts w:hint="default" w:ascii="Times New Roman" w:hAnsi="Times New Roman" w:cs="Times New Roman"/>
        </w:rPr>
        <w:t xml:space="preserve"> Cải thiện. Điều 9 khoản 3 về trách nhiệm tổ chức phát triển CNTT (bảo đảm tính trung thực, toàn vẹn, bảo mật) — đúng căn cứ. Ẩn danh không tự động loại trừ vi phạm vì hành vi thu thập trái phép đã xảy ra trước — lập luận này tốt hơn lần trước. Bệnh viện là chủ quản có thể bị liên đới theo Điều 18 Luật An ninh mạng — đúng. Trừ 2 điểm vì điểm cốt lõi chưa được khai thác: Điều 72 Luật CNTT cấm "hành vi làm mất an toàn, bí mật thông tin của tổ chức, cá nhân khác được lưu trữ trên môi trường mạng" — đây là căn cứ trực tiếp hơn và mạnh hơn Điều 9 khoản 3.</w:t>
      </w:r>
    </w:p>
    <w:p w14:paraId="1737D559">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5 — 8/10</w:t>
      </w:r>
      <w:r>
        <w:rPr>
          <w:rFonts w:hint="default" w:ascii="Times New Roman" w:hAnsi="Times New Roman" w:cs="Times New Roman"/>
        </w:rPr>
        <w:t xml:space="preserve"> Cải thiện. Điều 32 về giải quyết hậu quả lỗi nhập sai — được trích dẫn và phân tích đúng. Điều kiện để hủy: thông báo kịp thời + trả lại hàng chưa sử dụng — đúng và đủ. Điều khoản "không được hủy" có thể vô hiệu nếu vi phạm Điều 32 — đúng hướng. Trừ 2 điểm vì điểm tinh tế bị bỏ qua: Điều 32 quy định rõ điều kiện tiên quyết là "hệ thống nhập tin không cung cấp khả năng sửa đổi thông tin" — tức là khi website không có bước xác nhận lại, người mua tự động đáp ứng điều kiện này và quyền hủy được bảo đảm chắc chắn, không phải "có thể" như câu trả lời trình bày.</w:t>
      </w:r>
    </w:p>
    <w:p w14:paraId="7448FF09">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6 — 8/10</w:t>
      </w:r>
      <w:r>
        <w:rPr>
          <w:rFonts w:hint="default" w:ascii="Times New Roman" w:hAnsi="Times New Roman" w:cs="Times New Roman"/>
        </w:rPr>
        <w:t xml:space="preserve"> Cải thiện đáng kể so với lần trước (lần trước bị chìm trong danh sách lặp). Điều 72 khoản 1 về bảo đảm bí mật thông tin — đúng. Xóa dữ liệu không thông báo vi phạm nghĩa vụ bảo mật. Nhà cung cấp không có quyền tự ý xóa mà không thông báo. Điều 41 khoản 2 Luật An ninh mạng về nghĩa vụ cảnh báo và hướng dẫn. Trừ 2 điểm vì không phân tích điểm quan trọng nhất: Điều 17 khoản 2 Luật CNTT về lưu trữ tạm thời — nhà cung cấp email không phải "chủ động thu thập dữ liệu" nên được miễn trách về nội dung, nhưng đồng thời Điều 17 khoản 2 điểm a cấm "sửa đổi nội dung" — xóa dữ liệu có thể bị xem là vi phạm khoản này. Đây là căn cứ mạnh hơn Điều 72.</w:t>
      </w:r>
    </w:p>
    <w:p w14:paraId="5871E4D4">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7 — 9/10</w:t>
      </w:r>
      <w:r>
        <w:rPr>
          <w:rFonts w:hint="default" w:ascii="Times New Roman" w:hAnsi="Times New Roman" w:cs="Times New Roman"/>
        </w:rPr>
        <w:t xml:space="preserve"> Tốt và toàn diện hơn lần trước. Phạm vi điều chỉnh Luật CNTT — đúng. Điều 15 khoản 4 (không được trích dẫn nếu chủ sở hữu đã cảnh báo) và khoản 5 (ghi nguồn) — đúng. Song song với Luật An ninh mạng — phân tích có căn cứ. Khoảng trống về "lợi ích công cộng" — nhận ra và xử lý trung thực. Trừ 1 điểm vì không phân tích: trích dẫn "nguyên văn" (verbatim) so với trích dẫn tóm tắt — nếu trích nguyên văn toàn bộ báo cáo thì vi phạm Điều 15 khoản 4-5 rõ hơn; nếu chỉ tóm tắt nội dung thì chế độ pháp lý khác. Câu hỏi nêu "trích dẫn nguyên văn" nhưng câu trả lời không khai thác điểm này.</w:t>
      </w:r>
    </w:p>
    <w:p w14:paraId="0AC1715E">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8 — 7/10</w:t>
      </w:r>
      <w:r>
        <w:rPr>
          <w:rFonts w:hint="default" w:ascii="Times New Roman" w:hAnsi="Times New Roman" w:cs="Times New Roman"/>
        </w:rPr>
        <w:t xml:space="preserve"> Cải thiện một phần. Điều 34 về ứng dụng CNTT trong giáo dục — tìm được điều khoản liên quan hơn lần trước. Điều 9 khoản 2 về nghĩa vụ thông báo khi kinh doanh trên môi trường mạng — đúng. Khoảng trống về quyền sở hữu trí tuệ sản phẩm từ ngân sách nhà nước — trung thực thừa nhận không có trong Luật CNTT. Trừ 3 điểm vì câu hỏi hỏi ba vấn đề cụ thể và câu trả lời chỉ giải quyết được một phần. Điều 62 khoản 3 Luật CNTT quy định "Chính phủ ban hành quy chế quản lý đầu tư phù hợp đối với các dự án ứng dụng CNTT sử dụng vốn ngân sách nhà nước" — đây là căn cứ gần nhất trong Luật CNTT để nói về quyền sở hữu, nhưng bị bỏ qua cả hai lần.</w:t>
      </w:r>
    </w:p>
    <w:p w14:paraId="50852BF3">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9 — 7/10</w:t>
      </w:r>
      <w:r>
        <w:rPr>
          <w:rFonts w:hint="default" w:ascii="Times New Roman" w:hAnsi="Times New Roman" w:cs="Times New Roman"/>
        </w:rPr>
        <w:t xml:space="preserve"> Cải thiện ở cấu trúc. Thừa nhận khoảng trống về mã nguồn — trung thực và đúng. Reverse engineering có thể vi phạm Điều 12 khoản 3 (xâm phạm quyền SHTT) — đúng hướng. Cơ quan nhà nước chịu trách nhiệm về rủi ro gián đoạn theo Điều 24 khoản 7 (người đứng đầu chịu trách nhiệm) — đây là điểm tốt tìm được lần này. Trừ 3 điểm vì Điều 69 khoản 2 Luật CNTT cho phép người sử dụng hợp pháp sao chép để dự phòng — từ đây có thể lập luận quyền tiếp cận mã nguồn khi cần thiết cho duy trì hệ thống. Câu trả lời bỏ qua điều khoản này cả hai lần, trong khi đây là căn cứ gần nhất trong Luật CNTT cho quyền của cơ quan nhà nước.</w:t>
      </w:r>
    </w:p>
    <w:p w14:paraId="236DFF6F">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10 — 7/10</w:t>
      </w:r>
      <w:r>
        <w:rPr>
          <w:rFonts w:hint="default" w:ascii="Times New Roman" w:hAnsi="Times New Roman" w:cs="Times New Roman"/>
        </w:rPr>
        <w:t xml:space="preserve"> Cải thiện nhẹ. Luật CNTT không cấm lưu trữ ở nước ngoài — đúng. Điều 15 khoản 3 yêu cầu tuân thủ pháp luật liên quan (dẫn vào Luật An ninh mạng) — đúng. Hợp đồng do VPĐD ký vượt thẩm quyền thuộc Bộ luật Dân sự — đúng. Trừ 3 điểm vì hai bẫy chính vẫn bị bỏ qua: Điều 56 Luật CNTT (cơ sở hạ tầng thông tin phục vụ cơ quan nhà nước phải "thống nhất xây dựng và quản lý theo quy định của Chính phủ") và Điều 60 khoản 3 (tổ chức quản lý hạ tầng phải tạo điều kiện để cơ quan nhà nước kiểm soát) — server ở Hà Lan vi phạm cả hai điều này, đây là căn cứ mạnh hơn nhiều so với Điều 15 khoản 3 chung chung.</w:t>
      </w:r>
    </w:p>
    <w:p w14:paraId="060ABE2C">
      <w:pPr>
        <w:spacing w:after="60"/>
        <w:ind w:firstLine="259"/>
        <w:jc w:val="both"/>
        <w:rPr>
          <w:rFonts w:hint="default" w:ascii="Times New Roman" w:hAnsi="Times New Roman" w:eastAsia="Times New Roman" w:cs="Times New Roman"/>
          <w:sz w:val="22"/>
        </w:rPr>
      </w:pPr>
    </w:p>
    <w:sectPr>
      <w:footerReference r:id="rId5" w:type="default"/>
      <w:pgSz w:w="12240" w:h="15840"/>
      <w:pgMar w:top="1080"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EF86E">
    <w:pPr>
      <w:pStyle w:val="18"/>
      <w:jc w:val="center"/>
    </w:pPr>
    <w:r>
      <w:rPr>
        <w:rFonts w:ascii="Times New Roman" w:hAnsi="Times New Roman" w:eastAsia="Times New Roman"/>
        <w:color w:val="666666"/>
        <w:sz w:val="18"/>
      </w:rPr>
      <w:t>Luật Công nghệ thông tin - Câu hỏi &amp; Câu trả lời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C24883"/>
    <w:rsid w:val="4D226519"/>
    <w:rsid w:val="6854412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uiPriority w:val="99"/>
    <w:rPr>
      <w:sz w:val="24"/>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6934</Words>
  <Characters>25155</Characters>
  <Lines>0</Lines>
  <Paragraphs>0</Paragraphs>
  <TotalTime>5</TotalTime>
  <ScaleCrop>false</ScaleCrop>
  <LinksUpToDate>false</LinksUpToDate>
  <CharactersWithSpaces>31844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Anh Nguyen</cp:lastModifiedBy>
  <dcterms:modified xsi:type="dcterms:W3CDTF">2026-05-27T04:00:46Z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eyJoZGlkIjoiNzFjNzhlM2M3MDFiYWUyNWU3ZDg0NGEwZTI2MDRhZTUiLCJ1c2VySWQiOiI4ODEzNDA1OTQzOTc1In0=</vt:lpwstr>
  </property>
  <property fmtid="{D5CDD505-2E9C-101B-9397-08002B2CF9AE}" pid="3" name="KSOProductBuildVer">
    <vt:lpwstr>1033-12.1.0.26372</vt:lpwstr>
  </property>
  <property fmtid="{D5CDD505-2E9C-101B-9397-08002B2CF9AE}" pid="4" name="ICV">
    <vt:lpwstr>5BB5DD6B49554B80901747C5518B89FB_12</vt:lpwstr>
  </property>
</Properties>
</file>