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BA63B">
      <w:pPr>
        <w:jc w:val="center"/>
      </w:pPr>
      <w:r>
        <w:rPr>
          <w:b/>
          <w:color w:val="1F4E79"/>
          <w:sz w:val="36"/>
        </w:rPr>
        <w:t>LUẬT CÔNG NGHỆ THÔNG TIN</w:t>
      </w:r>
    </w:p>
    <w:p w14:paraId="42628C2E">
      <w:pPr>
        <w:jc w:val="center"/>
      </w:pPr>
      <w:r>
        <w:rPr>
          <w:i/>
          <w:color w:val="5A5A5A"/>
          <w:sz w:val="22"/>
        </w:rPr>
        <w:t>Bộ tình huống thực tế trung bình - khó | Câu hỏi và câu trả lời</w:t>
      </w:r>
    </w:p>
    <w:p w14:paraId="7815E7B2">
      <w:pPr>
        <w:spacing w:before="160"/>
      </w:pPr>
      <w:r>
        <w:rPr>
          <w:b/>
          <w:sz w:val="21"/>
        </w:rPr>
        <w:t>Phạm vi tài liệu: Câu 21 - Câu 30</w:t>
      </w:r>
    </w:p>
    <w:p w14:paraId="41B8FDF2">
      <w:pPr>
        <w:pStyle w:val="2"/>
      </w:pPr>
      <w:r>
        <w:rPr>
          <w:b/>
          <w:color w:val="1F4E79"/>
        </w:rPr>
        <w:t>Câu 21</w:t>
      </w:r>
    </w:p>
    <w:tbl>
      <w:tblPr>
        <w:tblStyle w:val="12"/>
        <w:tblW w:w="0" w:type="auto"/>
        <w:jc w:val="center"/>
        <w:tblLayout w:type="autofit"/>
        <w:tblCellMar>
          <w:top w:w="0" w:type="dxa"/>
          <w:left w:w="108" w:type="dxa"/>
          <w:bottom w:w="0" w:type="dxa"/>
          <w:right w:w="108" w:type="dxa"/>
        </w:tblCellMar>
      </w:tblPr>
      <w:tblGrid>
        <w:gridCol w:w="9936"/>
      </w:tblGrid>
      <w:tr w14:paraId="60CB6849">
        <w:tblPrEx>
          <w:tblCellMar>
            <w:top w:w="0" w:type="dxa"/>
            <w:left w:w="108" w:type="dxa"/>
            <w:bottom w:w="0" w:type="dxa"/>
            <w:right w:w="108" w:type="dxa"/>
          </w:tblCellMar>
        </w:tblPrEx>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213F428F">
            <w:pPr>
              <w:spacing w:before="100" w:after="100"/>
            </w:pPr>
            <w:r>
              <w:rPr>
                <w:b/>
                <w:color w:val="1F4E79"/>
                <w:sz w:val="22"/>
              </w:rPr>
              <w:t>Câu 21. Công ty X vận hành một nền tảng thương mại điện tử, tự động lưu trữ thông tin từ website của bên thứ ba để tăng tốc độ tải trang cho người dùng (caching). Trong quá trình lưu trữ tạm thời này, website gốc có nội dung vi phạm pháp luật. Công ty X có bị coi là chịu trách nhiệm về nội dung đó không? Trường hợp nào sẽ làm phát sinh trách nhiệm?</w:t>
            </w:r>
          </w:p>
        </w:tc>
      </w:tr>
    </w:tbl>
    <w:p w14:paraId="1FE5D0D8"/>
    <w:p w14:paraId="0AA7C091">
      <w:pPr>
        <w:pStyle w:val="3"/>
      </w:pPr>
      <w:r>
        <w:rPr>
          <w:b/>
          <w:color w:val="4F81BD"/>
        </w:rPr>
        <w:t>Câu trả lời</w:t>
      </w:r>
    </w:p>
    <w:p w14:paraId="05981F72">
      <w:pPr>
        <w:spacing w:before="120" w:after="60" w:line="259" w:lineRule="auto"/>
      </w:pPr>
      <w:r>
        <w:rPr>
          <w:b/>
          <w:color w:val="1F4E79"/>
          <w:sz w:val="22"/>
        </w:rPr>
        <w:t>TRẢ LỜI:</w:t>
      </w:r>
    </w:p>
    <w:p w14:paraId="49D2B484">
      <w:pPr>
        <w:spacing w:before="120" w:after="60" w:line="259" w:lineRule="auto"/>
      </w:pPr>
      <w:r>
        <w:rPr>
          <w:b/>
          <w:color w:val="1F4E79"/>
          <w:sz w:val="22"/>
        </w:rPr>
        <w:t>1. QUY ĐỊNH NGUYÊN VĂN VỀ TRÁCH NHIỆM LƯU TRỮ TẠM THỜI</w:t>
      </w:r>
    </w:p>
    <w:p w14:paraId="2FA96191">
      <w:pPr>
        <w:spacing w:after="60" w:line="259" w:lineRule="auto"/>
      </w:pPr>
      <w:r>
        <w:rPr>
          <w:sz w:val="21"/>
        </w:rPr>
        <w:t>[Tổng hợp hai luật: Luật Công nghệ thông tin (văn bản hợp nhất 2025) Điều 17, Khoản 2 quy định: "Tổ chức, cá nhân lưu trữ tạm thời thông tin số của tổ chức, cá nhân khác không phải chịu trách nhiệm về nội dung thông tin đó, trừ trường hợp thực hiện một trong các hành vi sau đây: a) Sửa đổi nội dung thông tin; b) Không tuân thủ quy định về truy nhập hoặc cập nhật nội dung thông tin; c) Thu thập dữ liệu bất hợp pháp thông qua việc lưu trữ thông tin tạm thời; d) Tiết lộ bí mật thông tin." — Luật Công nghệ thông tin (văn bản hợp nhất 2025) Điều 17, Khoản 2; Luật Công nghệ thông tin (văn bản hợp nhất 2025) Điều 16, Khoản 2 quy định: "Tổ chức, cá nhân truyền đưa thông tin số của tổ chức, cá nhân khác không phải chịu trách nhiệm về nội dung thông tin được lưu trữ tự động, trung gian, tạm thời do yêu cầu kỹ thuật nếu hoạt động lưu trữ tạm thời nhằm mục đích phục vụ cho việc truyền đưa thông tin và thông tin được lưu trữ trong khoảng thời gian đủ để thực hiện việc truyền đưa."]</w:t>
      </w:r>
    </w:p>
    <w:p w14:paraId="3D90A373">
      <w:pPr>
        <w:spacing w:before="120" w:after="60" w:line="259" w:lineRule="auto"/>
      </w:pPr>
      <w:r>
        <w:rPr>
          <w:b/>
          <w:color w:val="1F4E79"/>
          <w:sz w:val="22"/>
        </w:rPr>
        <w:t>2. PHÂN TÍCH TRẠNG THÁI B — KHOẢNG TRỐNG PHÁP LÝ</w:t>
      </w:r>
    </w:p>
    <w:p w14:paraId="5E92AD7F">
      <w:pPr>
        <w:spacing w:after="60" w:line="259" w:lineRule="auto"/>
      </w:pPr>
      <w:r>
        <w:rPr>
          <w:sz w:val="21"/>
        </w:rPr>
        <w:t>Luật quy định [Điều 17, Khoản 2]. Tuy nhiên KHÔNG nêu khái niệm "lưu trữ đệm" (caching) cụ thể hay phân biệt giữa "lưu trữ tạm thời" và "lưu trữ đệm".</w:t>
      </w:r>
    </w:p>
    <w:p w14:paraId="1F6D8627">
      <w:pPr>
        <w:spacing w:after="60" w:line="259" w:lineRule="auto"/>
      </w:pPr>
      <w:r>
        <w:rPr>
          <w:sz w:val="21"/>
        </w:rPr>
        <w:t>&lt;suy_luận_bù_khoảng_trống&gt;</w:t>
      </w:r>
    </w:p>
    <w:p w14:paraId="1CE6D6B8">
      <w:pPr>
        <w:spacing w:before="120" w:after="60" w:line="259" w:lineRule="auto"/>
      </w:pPr>
      <w:r>
        <w:rPr>
          <w:b/>
          <w:color w:val="1F4E79"/>
          <w:sz w:val="22"/>
        </w:rPr>
        <w:t>BƯỚC 1 — XÁC ĐỊNH NGUYÊN TẮC GẦN NHẤT:</w:t>
      </w:r>
    </w:p>
    <w:p w14:paraId="5445F2BE">
      <w:pPr>
        <w:spacing w:after="60" w:line="259" w:lineRule="auto"/>
      </w:pPr>
      <w:r>
        <w:rPr>
          <w:sz w:val="21"/>
        </w:rPr>
        <w:t>Lưu trữ đệm (caching) là hình thức lưu trữ tạm thời nhằm tăng tốc độ truy cập, phục vụ mục đích truyền đưa thông tin → có thể áp dụng nguyên tắc Điều 16, Khoản 2 về lưu trữ "tạm thời do yêu cầu kỹ thuật" phục vụ "việc truyền đưa thông tin".</w:t>
      </w:r>
    </w:p>
    <w:p w14:paraId="64B1D273">
      <w:pPr>
        <w:spacing w:after="60" w:line="259" w:lineRule="auto"/>
      </w:pPr>
      <w:r>
        <w:rPr>
          <w:sz w:val="21"/>
        </w:rPr>
        <w:t>Tuy nhiên, nếu caching vượt quá thời gian "đủ để thực hiện việc truyền đưa" → chuyển sang Điều 17 về lưu trữ tạm thời.</w:t>
      </w:r>
    </w:p>
    <w:p w14:paraId="3C836922">
      <w:pPr>
        <w:spacing w:before="120" w:after="60" w:line="259" w:lineRule="auto"/>
      </w:pPr>
      <w:r>
        <w:rPr>
          <w:b/>
          <w:color w:val="1F4E79"/>
          <w:sz w:val="22"/>
        </w:rPr>
        <w:t>BƯỚC 2 — PHÂN CÔNG TRÁCH NHIỆM:</w:t>
      </w:r>
    </w:p>
    <w:p w14:paraId="3DADD24C">
      <w:pPr>
        <w:spacing w:after="60" w:line="259" w:lineRule="auto"/>
      </w:pPr>
      <w:r>
        <w:rPr>
          <w:sz w:val="21"/>
        </w:rPr>
        <w:t>Nhà nước: Giám sát, yêu cầu xác định danh sách chủ sở hữu thông tin số được lưu trữ (theo Điều 18, Khoản 3).</w:t>
      </w:r>
    </w:p>
    <w:p w14:paraId="321B6812">
      <w:pPr>
        <w:spacing w:after="60" w:line="259" w:lineRule="auto"/>
      </w:pPr>
      <w:r>
        <w:rPr>
          <w:sz w:val="21"/>
        </w:rPr>
        <w:t>Doanh nghiệp: Phối hợp theo yêu cầu của cơ quan nhà nước có thẩm quyền về việc xác định danh sách chủ sở hữu thông tin số được lưu trữ (Điều 18, Khoản 3); thực hiện biện pháp ngăn chặn/làm sạch nội dung trái pháp luật theo yêu cầu (Điều 18, Khoản 3).</w:t>
      </w:r>
    </w:p>
    <w:p w14:paraId="016C45A5">
      <w:pPr>
        <w:spacing w:before="120" w:after="60" w:line="259" w:lineRule="auto"/>
      </w:pPr>
      <w:r>
        <w:rPr>
          <w:b/>
          <w:color w:val="1F4E79"/>
          <w:sz w:val="22"/>
        </w:rPr>
        <w:t>BƯỚC 3 — MỨC ĐỘ CHẮC CHẮN:</w:t>
      </w:r>
    </w:p>
    <w:p w14:paraId="6C698294">
      <w:pPr>
        <w:spacing w:after="60" w:line="259" w:lineRule="auto"/>
      </w:pPr>
      <w:r>
        <w:rPr>
          <w:sz w:val="21"/>
        </w:rPr>
        <w:t>Đây là suy luận từ nguyên tắc — luật chưa quy định tường minh về "lưu trữ đệm" như một khái niệm riêng biệt.</w:t>
      </w:r>
    </w:p>
    <w:p w14:paraId="3C68DEAB">
      <w:pPr>
        <w:spacing w:before="120" w:after="60" w:line="259" w:lineRule="auto"/>
      </w:pPr>
      <w:r>
        <w:rPr>
          <w:b/>
          <w:color w:val="1F4E79"/>
          <w:sz w:val="22"/>
        </w:rPr>
        <w:t>3. CÁC TRƯỜNG HỢP PHÁT SINH TRÁCH NHIỆM</w:t>
      </w:r>
    </w:p>
    <w:p w14:paraId="2717E374">
      <w:pPr>
        <w:spacing w:before="120" w:after="60" w:line="259" w:lineRule="auto"/>
      </w:pPr>
      <w:r>
        <w:rPr>
          <w:b/>
          <w:color w:val="1F4E79"/>
          <w:sz w:val="22"/>
        </w:rPr>
        <w:t>Công ty X KHÔNG chịu trách nhiệm về nội dung vi phạm nếu:</w:t>
      </w:r>
    </w:p>
    <w:p w14:paraId="5F6551C2">
      <w:pPr>
        <w:spacing w:after="60" w:line="259" w:lineRule="auto"/>
      </w:pPr>
      <w:r>
        <w:rPr>
          <w:sz w:val="21"/>
        </w:rPr>
        <w:t>Lưu trữ chỉ nhằm mục đích tăng tốc độ tải trang (phục vụ truyền đưa)</w:t>
      </w:r>
    </w:p>
    <w:p w14:paraId="5040086D">
      <w:pPr>
        <w:spacing w:after="60" w:line="259" w:lineRule="auto"/>
      </w:pPr>
      <w:r>
        <w:rPr>
          <w:sz w:val="21"/>
        </w:rPr>
        <w:t>Thời gian lưu trữ trong khoảng thời gian đủ để thực hiện việc truyền đưa</w:t>
      </w:r>
    </w:p>
    <w:p w14:paraId="0DFC7574">
      <w:pPr>
        <w:spacing w:after="60" w:line="259" w:lineRule="auto"/>
      </w:pPr>
      <w:r>
        <w:rPr>
          <w:sz w:val="21"/>
        </w:rPr>
        <w:t>Không thực hiện một trong 4 hành vi tại Điều 17, Khoản 2</w:t>
      </w:r>
    </w:p>
    <w:p w14:paraId="1B9BEEE2">
      <w:pPr>
        <w:spacing w:before="120" w:after="60" w:line="259" w:lineRule="auto"/>
      </w:pPr>
      <w:r>
        <w:rPr>
          <w:b/>
          <w:color w:val="1F4E79"/>
          <w:sz w:val="22"/>
        </w:rPr>
        <w:t>Công ty X CHỊU TRÁCH NHIỆM nếu thực hiện một trong các hành vi sau: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4B5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tcPr>
          <w:p w14:paraId="3D937280">
            <w:pPr>
              <w:spacing w:after="0" w:line="240" w:lineRule="auto"/>
            </w:pPr>
            <w:r>
              <w:rPr>
                <w:b/>
                <w:sz w:val="18"/>
              </w:rPr>
              <w:t>Hành vi</w:t>
            </w:r>
          </w:p>
        </w:tc>
        <w:tc>
          <w:tcPr>
            <w:tcW w:w="4968" w:type="dxa"/>
            <w:shd w:val="clear" w:color="auto" w:fill="D9EAF7"/>
          </w:tcPr>
          <w:p w14:paraId="749D9D73">
            <w:pPr>
              <w:spacing w:after="0" w:line="240" w:lineRule="auto"/>
            </w:pPr>
            <w:r>
              <w:rPr>
                <w:b/>
                <w:sz w:val="18"/>
              </w:rPr>
              <w:t>Căn cứ</w:t>
            </w:r>
          </w:p>
        </w:tc>
      </w:tr>
      <w:tr w14:paraId="11F6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E12E270">
            <w:pPr>
              <w:spacing w:after="0" w:line="240" w:lineRule="auto"/>
            </w:pPr>
            <w:r>
              <w:rPr>
                <w:sz w:val="18"/>
              </w:rPr>
              <w:t>a) Sửa đổi nội dung thông tin</w:t>
            </w:r>
          </w:p>
        </w:tc>
        <w:tc>
          <w:tcPr>
            <w:tcW w:w="4968" w:type="dxa"/>
          </w:tcPr>
          <w:p w14:paraId="513C152E">
            <w:pPr>
              <w:spacing w:after="0" w:line="240" w:lineRule="auto"/>
            </w:pPr>
            <w:r>
              <w:rPr>
                <w:sz w:val="18"/>
              </w:rPr>
              <w:t>Luật Công nghệ thông tin (văn bản hợp nhất 2025) Điều 17, Khoản 2, điểm a</w:t>
            </w:r>
          </w:p>
        </w:tc>
      </w:tr>
      <w:tr w14:paraId="5D02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F4F7D87">
            <w:pPr>
              <w:spacing w:after="0" w:line="240" w:lineRule="auto"/>
            </w:pPr>
            <w:r>
              <w:rPr>
                <w:sz w:val="18"/>
              </w:rPr>
              <w:t>b) Không tuân thủ quy định về truy nhập hoặc cập nhật nội dung thông tin</w:t>
            </w:r>
          </w:p>
        </w:tc>
        <w:tc>
          <w:tcPr>
            <w:tcW w:w="4968" w:type="dxa"/>
          </w:tcPr>
          <w:p w14:paraId="5EC29654">
            <w:pPr>
              <w:spacing w:after="0" w:line="240" w:lineRule="auto"/>
            </w:pPr>
            <w:r>
              <w:rPr>
                <w:sz w:val="18"/>
              </w:rPr>
              <w:t>Luật Công nghệ thông tin (văn bản hợp nhất 2025) Điều 17, Khoản 2, điểm b</w:t>
            </w:r>
          </w:p>
        </w:tc>
      </w:tr>
      <w:tr w14:paraId="1489B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BC65449">
            <w:pPr>
              <w:spacing w:after="0" w:line="240" w:lineRule="auto"/>
            </w:pPr>
            <w:r>
              <w:rPr>
                <w:sz w:val="18"/>
              </w:rPr>
              <w:t>c) Thu thập dữ liệu bất hợp pháp thông qua việc lưu trữ thông tin tạm thời</w:t>
            </w:r>
          </w:p>
        </w:tc>
        <w:tc>
          <w:tcPr>
            <w:tcW w:w="4968" w:type="dxa"/>
          </w:tcPr>
          <w:p w14:paraId="45055AE7">
            <w:pPr>
              <w:spacing w:after="0" w:line="240" w:lineRule="auto"/>
            </w:pPr>
            <w:r>
              <w:rPr>
                <w:sz w:val="18"/>
              </w:rPr>
              <w:t>Luật Công nghệ thông tin (văn bản hợp nhất 2025) Điều 17, Khoản 2, điểm c</w:t>
            </w:r>
          </w:p>
        </w:tc>
      </w:tr>
      <w:tr w14:paraId="2355A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6E05403">
            <w:pPr>
              <w:spacing w:after="0" w:line="240" w:lineRule="auto"/>
            </w:pPr>
            <w:r>
              <w:rPr>
                <w:sz w:val="18"/>
              </w:rPr>
              <w:t>d) Tiết lộ bí mật thông tin</w:t>
            </w:r>
          </w:p>
        </w:tc>
        <w:tc>
          <w:tcPr>
            <w:tcW w:w="4968" w:type="dxa"/>
          </w:tcPr>
          <w:p w14:paraId="2E8654CE">
            <w:pPr>
              <w:spacing w:after="0" w:line="240" w:lineRule="auto"/>
            </w:pPr>
            <w:r>
              <w:rPr>
                <w:sz w:val="18"/>
              </w:rPr>
              <w:t>Luật Công nghệ thông tin (văn bản hợp nhất 2025) Điều 17, Khoản 2, điểm d</w:t>
            </w:r>
          </w:p>
        </w:tc>
      </w:tr>
    </w:tbl>
    <w:p w14:paraId="4ED466DC"/>
    <w:p w14:paraId="531915B0">
      <w:pPr>
        <w:spacing w:before="120" w:after="60" w:line="259" w:lineRule="auto"/>
      </w:pPr>
      <w:r>
        <w:rPr>
          <w:b/>
          <w:color w:val="1F4E79"/>
          <w:sz w:val="22"/>
        </w:rPr>
        <w:t>4. XỬ LÝ VI PHẠM</w:t>
      </w:r>
    </w:p>
    <w:p w14:paraId="6D53686C">
      <w:pPr>
        <w:spacing w:after="60" w:line="259" w:lineRule="auto"/>
      </w:pPr>
      <w:r>
        <w:rPr>
          <w:sz w:val="21"/>
        </w:rPr>
        <w:t>Hành vi: Công ty X lưu trữ nội dung vi phạm pháp luật trên website bên thứ ba</w:t>
      </w:r>
    </w:p>
    <w:p w14:paraId="52A6D1F3">
      <w:pPr>
        <w:spacing w:after="60" w:line="259" w:lineRule="auto"/>
      </w:pPr>
      <w:r>
        <w:rPr>
          <w:sz w:val="21"/>
        </w:rPr>
        <w:t>Căn cứ: Luật Công nghệ thông tin (văn bản hợp nhất 2025) Điều 77, Khoản 1, 2</w:t>
      </w:r>
    </w:p>
    <w:p w14:paraId="70CF0306">
      <w:pPr>
        <w:spacing w:after="60" w:line="259" w:lineRule="auto"/>
      </w:pPr>
      <w:r>
        <w:rPr>
          <w:sz w:val="21"/>
        </w:rPr>
        <w:t>Chế tài: Tùy theo tính chất, mức độ vi phạm mà bị xử phạt hành chính, đình chỉ hoạt động; nếu gây thiệt hại thì phải bồi thường theo quy định của pháp luật</w:t>
      </w:r>
    </w:p>
    <w:p w14:paraId="7ED27BDD">
      <w:pPr>
        <w:spacing w:after="60" w:line="259" w:lineRule="auto"/>
      </w:pPr>
      <w:r>
        <w:rPr>
          <w:sz w:val="21"/>
        </w:rPr>
        <w:t>Khắc phục: Thực hiện yêu cầu của cơ quan nhà nước có thẩm quyền về việc xác định danh sách chủ sở hữu thông tin số được lưu trữ; ngăn chặn việc truy nhập thông tin hoặc loại bỏ thông tin số trái pháp luật theo yêu cầu (Điều 18, Khoản 3)</w:t>
      </w:r>
    </w:p>
    <w:p w14:paraId="7A003A16">
      <w:pPr>
        <w:spacing w:after="60" w:line="259" w:lineRule="auto"/>
        <w:rPr>
          <w:sz w:val="21"/>
        </w:rPr>
      </w:pPr>
      <w:r>
        <w:rPr>
          <w:sz w:val="21"/>
        </w:rPr>
        <w:t>KẾT LUẬN: Đây là suy luận từ nguyên tắc — luật chưa quy định tường minh về "lưu trữ đệm" như một khái niệm riêng biệt. Trách nhiệm pháp lý phụ thuộc vào việc xác định caching có nằm trong phạm vi "lưu trữ tạm thời" theo Điều 17 hay "lưu trữ tự động, trung gian, tạm thời do yêu cầu kỹ thuật" theo Điều 16, Khoản 2.</w:t>
      </w:r>
    </w:p>
    <w:p w14:paraId="4F7A9B52">
      <w:pPr>
        <w:spacing w:after="60" w:line="259" w:lineRule="auto"/>
        <w:rPr>
          <w:sz w:val="21"/>
        </w:rPr>
      </w:pPr>
    </w:p>
    <w:p w14:paraId="06968F6C">
      <w:r>
        <w:rPr>
          <w:b/>
          <w:color w:val="1F4E79"/>
        </w:rPr>
        <w:t>Câu 22</w:t>
      </w:r>
    </w:p>
    <w:tbl>
      <w:tblPr>
        <w:tblStyle w:val="12"/>
        <w:tblW w:w="0" w:type="auto"/>
        <w:jc w:val="center"/>
        <w:tblLayout w:type="autofit"/>
        <w:tblCellMar>
          <w:top w:w="0" w:type="dxa"/>
          <w:left w:w="108" w:type="dxa"/>
          <w:bottom w:w="0" w:type="dxa"/>
          <w:right w:w="108" w:type="dxa"/>
        </w:tblCellMar>
      </w:tblPr>
      <w:tblGrid>
        <w:gridCol w:w="9936"/>
      </w:tblGrid>
      <w:tr w14:paraId="46F4B039">
        <w:tblPrEx>
          <w:tblCellMar>
            <w:top w:w="0" w:type="dxa"/>
            <w:left w:w="108" w:type="dxa"/>
            <w:bottom w:w="0" w:type="dxa"/>
            <w:right w:w="108" w:type="dxa"/>
          </w:tblCellMar>
        </w:tblPrEx>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5018606B">
            <w:pPr>
              <w:spacing w:before="100" w:after="100"/>
            </w:pPr>
            <w:r>
              <w:rPr>
                <w:b/>
                <w:color w:val="1F4E79"/>
                <w:sz w:val="22"/>
              </w:rPr>
              <w:t>Câu 22. Một người mua hàng online nhập nhầm địa chỉ giao hàng trên sàn thương mại điện tử, nhưng hệ thống của sàn không có nút "sửa lại thông tin" trước khi xác nhận đơn hàng. Quyền và nghĩa vụ của người mua và người bán trong tình huống này theo Luật Công nghệ thông tin là gì?</w:t>
            </w:r>
          </w:p>
        </w:tc>
      </w:tr>
    </w:tbl>
    <w:p w14:paraId="656FD80E"/>
    <w:p w14:paraId="7A5AB1B3">
      <w:pPr>
        <w:pStyle w:val="3"/>
      </w:pPr>
      <w:r>
        <w:rPr>
          <w:b/>
          <w:color w:val="4F81BD"/>
        </w:rPr>
        <w:t>Câu trả lời</w:t>
      </w:r>
    </w:p>
    <w:p w14:paraId="66DC50FB">
      <w:pPr>
        <w:spacing w:after="60" w:line="259" w:lineRule="auto"/>
      </w:pPr>
      <w:r>
        <w:rPr>
          <w:sz w:val="21"/>
        </w:rPr>
        <w:t>A — Luật RÕ + ĐỦ</w:t>
      </w:r>
    </w:p>
    <w:p w14:paraId="4987B7B3">
      <w:pPr>
        <w:spacing w:after="60" w:line="259" w:lineRule="auto"/>
      </w:pPr>
      <w:r>
        <w:rPr>
          <w:sz w:val="21"/>
        </w:rPr>
        <w:t>Căn cứ: [Luật Công nghệ thông tin (văn bản hợp nhất 2025)] Điều 32. Giải quyết hậu quả do lỗi nhập sai thông tin thương mại trên môi trường mạng.</w:t>
      </w:r>
    </w:p>
    <w:p w14:paraId="16A91DA0">
      <w:pPr>
        <w:spacing w:before="120" w:after="60" w:line="259" w:lineRule="auto"/>
      </w:pPr>
      <w:r>
        <w:rPr>
          <w:b/>
          <w:color w:val="1F4E79"/>
          <w:sz w:val="22"/>
        </w:rPr>
        <w:t>Quyền và nghĩa vụ của người mua và người bán:</w:t>
      </w:r>
    </w:p>
    <w:p w14:paraId="19363129">
      <w:pPr>
        <w:spacing w:before="120" w:after="60" w:line="259" w:lineRule="auto"/>
      </w:pPr>
      <w:r>
        <w:rPr>
          <w:b/>
          <w:color w:val="1F4E79"/>
          <w:sz w:val="22"/>
        </w:rPr>
        <w:t>Nghĩa vụ của người mua (bên nhập sai):</w:t>
      </w:r>
    </w:p>
    <w:p w14:paraId="3F5318B5">
      <w:pPr>
        <w:spacing w:after="60" w:line="259" w:lineRule="auto"/>
      </w:pPr>
      <w:r>
        <w:rPr>
          <w:sz w:val="21"/>
        </w:rPr>
        <w:t>Thông báo: Phải "Thông báo kịp thời cho người bán biết về thông tin nhập sai của mình" (Khoản 1).</w:t>
      </w:r>
    </w:p>
    <w:p w14:paraId="4D6E3B0F">
      <w:pPr>
        <w:spacing w:after="60" w:line="259" w:lineRule="auto"/>
      </w:pPr>
      <w:r>
        <w:rPr>
          <w:sz w:val="21"/>
        </w:rPr>
        <w:t>Trả lại hàng: Phải "Trả lại hàng hóa đã nhận nhưng chưa sử dụng hoặc hưởng bất kỳ lợi ích nào từ hàng hóa đó" (Khoản 2).</w:t>
      </w:r>
    </w:p>
    <w:p w14:paraId="7C4D9489">
      <w:pPr>
        <w:spacing w:before="120" w:after="60" w:line="259" w:lineRule="auto"/>
      </w:pPr>
      <w:r>
        <w:rPr>
          <w:b/>
          <w:color w:val="1F4E79"/>
          <w:sz w:val="22"/>
        </w:rPr>
        <w:t>Nghĩa vụ của người bán:</w:t>
      </w:r>
    </w:p>
    <w:p w14:paraId="2E406C9B">
      <w:pPr>
        <w:spacing w:after="60" w:line="259" w:lineRule="auto"/>
      </w:pPr>
      <w:r>
        <w:rPr>
          <w:sz w:val="21"/>
        </w:rPr>
        <w:t>Xác nhận: Phải "xác nhận việc nhận được thông báo đó" (Khoản 1).</w:t>
      </w:r>
    </w:p>
    <w:p w14:paraId="52DF6398">
      <w:pPr>
        <w:spacing w:before="120" w:after="60" w:line="259" w:lineRule="auto"/>
      </w:pPr>
      <w:r>
        <w:rPr>
          <w:b/>
          <w:color w:val="1F4E79"/>
          <w:sz w:val="22"/>
        </w:rPr>
        <w:t>Về hạn chế của hệ thống:</w:t>
      </w:r>
    </w:p>
    <w:p w14:paraId="6D742093">
      <w:pPr>
        <w:spacing w:after="60" w:line="259" w:lineRule="auto"/>
      </w:pPr>
      <w:r>
        <w:rPr>
          <w:sz w:val="21"/>
        </w:rPr>
        <w:t>Luật quy định cơ chế giải quyết hậu quả khi xảy ra lỗi nhập sai, không quy định bắt buộc hệ thống phải có nút "sửa lại" trước khi xác nhận. Việc giải quyết dựa trên hành vi thông báo và trả lại hàng hóa theo quy định tại Điều 32.</w:t>
      </w:r>
    </w:p>
    <w:p w14:paraId="2EC90044">
      <w:pPr>
        <w:spacing w:before="120" w:after="60" w:line="259" w:lineRule="auto"/>
      </w:pPr>
      <w:r>
        <w:rPr>
          <w:b/>
          <w:color w:val="1F4E79"/>
          <w:sz w:val="22"/>
        </w:rPr>
        <w:t>Tổng hợp:</w:t>
      </w:r>
    </w:p>
    <w:p w14:paraId="273A8B07">
      <w:pPr>
        <w:spacing w:after="60" w:line="259" w:lineRule="auto"/>
      </w:pPr>
      <w:r>
        <w:rPr>
          <w:sz w:val="21"/>
        </w:rPr>
        <w:t>[Tổng hợp hai luật: [Luật Công nghệ thông tin (văn bản hợp nhất 2025)] Điều 32 quy định cơ chế giải quyết hậu quả lỗi nhập sai thông tin thương mại; [Luật Viễn thông 2023] Điều 15 quy định nghĩa vụ bồi thường thiệt hại do lỗi của mình gây ra — kết hợp xác định: Người mua có nghĩa vụ thông báo và trả lại hàng, người bán có nghĩa vụ xác nhận.]</w:t>
      </w:r>
    </w:p>
    <w:p w14:paraId="46241852">
      <w:r>
        <w:rPr>
          <w:b/>
          <w:color w:val="1F4E79"/>
        </w:rPr>
        <w:t>Câu 23</w:t>
      </w:r>
    </w:p>
    <w:tbl>
      <w:tblPr>
        <w:tblStyle w:val="12"/>
        <w:tblW w:w="0" w:type="auto"/>
        <w:jc w:val="center"/>
        <w:tblLayout w:type="autofit"/>
        <w:tblCellMar>
          <w:top w:w="0" w:type="dxa"/>
          <w:left w:w="108" w:type="dxa"/>
          <w:bottom w:w="0" w:type="dxa"/>
          <w:right w:w="108" w:type="dxa"/>
        </w:tblCellMar>
      </w:tblPr>
      <w:tblGrid>
        <w:gridCol w:w="9936"/>
      </w:tblGrid>
      <w:tr w14:paraId="7D03CCD9">
        <w:tblPrEx>
          <w:tblCellMar>
            <w:top w:w="0" w:type="dxa"/>
            <w:left w:w="108" w:type="dxa"/>
            <w:bottom w:w="0" w:type="dxa"/>
            <w:right w:w="108" w:type="dxa"/>
          </w:tblCellMar>
        </w:tblPrEx>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67257977">
            <w:pPr>
              <w:spacing w:before="100" w:after="100"/>
            </w:pPr>
            <w:r>
              <w:rPr>
                <w:b/>
                <w:color w:val="1F4E79"/>
                <w:sz w:val="22"/>
              </w:rPr>
              <w:t>Câu 23. Bộ Giáo dục và Đào tạo muốn công nhận giá trị pháp lý của bằng đại học do một trường nước ngoài cấp qua hình thức học hoàn toàn trực tuyến. Hỏi Luật Công nghệ thông tin quy định trách nhiệm và thẩm quyền của cơ quan nào trong việc này?</w:t>
            </w:r>
          </w:p>
        </w:tc>
      </w:tr>
    </w:tbl>
    <w:p w14:paraId="1559933B"/>
    <w:p w14:paraId="416631CE">
      <w:pPr>
        <w:pStyle w:val="3"/>
      </w:pPr>
      <w:r>
        <w:rPr>
          <w:b/>
          <w:color w:val="4F81BD"/>
        </w:rPr>
        <w:t>Câu trả lời</w:t>
      </w:r>
    </w:p>
    <w:p w14:paraId="31918B5D">
      <w:pPr>
        <w:spacing w:after="60" w:line="259" w:lineRule="auto"/>
      </w:pPr>
      <w:r>
        <w:rPr>
          <w:sz w:val="21"/>
        </w:rPr>
        <w:t>Theo Luật Công nghệ thông tin (văn bản hợp nhất 2025), cơ quan có thẩm quyền và trách nhiệm là Bộ Giáo dục và Đào tạo.</w:t>
      </w:r>
    </w:p>
    <w:p w14:paraId="0C371035">
      <w:pPr>
        <w:spacing w:before="120" w:after="60" w:line="259" w:lineRule="auto"/>
      </w:pPr>
      <w:r>
        <w:rPr>
          <w:b/>
          <w:color w:val="1F4E79"/>
          <w:sz w:val="22"/>
        </w:rPr>
        <w:t>Căn cứ:</w:t>
      </w:r>
    </w:p>
    <w:p w14:paraId="6AEEFF71">
      <w:pPr>
        <w:spacing w:after="60" w:line="259" w:lineRule="auto"/>
      </w:pPr>
      <w:r>
        <w:rPr>
          <w:sz w:val="21"/>
        </w:rPr>
        <w:t>[Luật Công nghệ thông tin (văn bản hợp nhất 2025)] Điều 34, khoản 4: "Bộ Giáo dục và Đào tạo quy định điều kiện hoạt động giáo dục và đào tạo, công nhận giá trị pháp lý của văn bằng, chứng chỉ trong hoạt động giáo dục và đào tạo trên môi trường mạng".</w:t>
      </w:r>
    </w:p>
    <w:p w14:paraId="4B1A94F5">
      <w:pPr>
        <w:spacing w:before="120" w:after="60" w:line="259" w:lineRule="auto"/>
      </w:pPr>
      <w:r>
        <w:rPr>
          <w:b/>
          <w:color w:val="1F4E79"/>
          <w:sz w:val="22"/>
        </w:rPr>
        <w:t>Phân tích:</w:t>
      </w:r>
    </w:p>
    <w:p w14:paraId="795617FE">
      <w:pPr>
        <w:spacing w:after="60" w:line="259" w:lineRule="auto"/>
      </w:pPr>
      <w:r>
        <w:rPr>
          <w:sz w:val="21"/>
        </w:rPr>
        <w:t>Chủ thể: Bộ Giáo dục và Đào tạo.</w:t>
      </w:r>
    </w:p>
    <w:p w14:paraId="68E64D5C">
      <w:pPr>
        <w:spacing w:after="60" w:line="259" w:lineRule="auto"/>
      </w:pPr>
      <w:r>
        <w:rPr>
          <w:sz w:val="21"/>
        </w:rPr>
        <w:t>Hành vi: Công nhận giá trị pháp lý của văn bằng, chứng chỉ.</w:t>
      </w:r>
    </w:p>
    <w:p w14:paraId="7BCD4A67">
      <w:pPr>
        <w:spacing w:after="60" w:line="259" w:lineRule="auto"/>
      </w:pPr>
      <w:r>
        <w:rPr>
          <w:sz w:val="21"/>
        </w:rPr>
        <w:t>Phạm vi: Trong hoạt động giáo dục và đào tạo trên môi trường mạng (bao gồm hình thức học trực tuyến).</w:t>
      </w:r>
    </w:p>
    <w:p w14:paraId="6E4FECA0">
      <w:pPr>
        <w:spacing w:after="60" w:line="259" w:lineRule="auto"/>
      </w:pPr>
      <w:r>
        <w:rPr>
          <w:sz w:val="21"/>
        </w:rPr>
        <w:t>Lưu ý: Luật không phân biệt rõ ràng giữa văn bằng trong nước hay nước ngoài trong điều khoản này, nhưng quy định chung cho tất cả hoạt động giáo dục trên môi trường mạng thuộc thẩm quyền quản lý của Bộ Giáo dục và Đào tạo về mặt công nhận giá trị pháp lý.</w:t>
      </w:r>
    </w:p>
    <w:p w14:paraId="2F9853FC">
      <w:pPr>
        <w:spacing w:before="120" w:after="60" w:line="259" w:lineRule="auto"/>
      </w:pPr>
      <w:r>
        <w:rPr>
          <w:b/>
          <w:color w:val="1F4E79"/>
          <w:sz w:val="22"/>
        </w:rPr>
        <w:t>Kết luận:</w:t>
      </w:r>
    </w:p>
    <w:p w14:paraId="3014AB9A">
      <w:pPr>
        <w:spacing w:after="60" w:line="259" w:lineRule="auto"/>
      </w:pPr>
      <w:r>
        <w:rPr>
          <w:sz w:val="21"/>
        </w:rPr>
        <w:t>Cơ quan có thẩm quyền theo Luật Công nghệ thông tin là Bộ Giáo dục và Đào tạo. Đây là quy định tường minh về cơ quan và hành vi công nhận giá trị pháp lý văn bằng trong giáo dục trên môi trường mạng.</w:t>
      </w:r>
    </w:p>
    <w:p w14:paraId="06D42054">
      <w:r>
        <w:br w:type="page"/>
      </w:r>
    </w:p>
    <w:p w14:paraId="5BAF9861">
      <w:pPr>
        <w:pStyle w:val="2"/>
      </w:pPr>
      <w:r>
        <w:rPr>
          <w:b/>
          <w:color w:val="1F4E79"/>
        </w:rPr>
        <w:t>Câu 24</w:t>
      </w:r>
    </w:p>
    <w:tbl>
      <w:tblPr>
        <w:tblStyle w:val="12"/>
        <w:tblW w:w="0" w:type="auto"/>
        <w:jc w:val="center"/>
        <w:tblLayout w:type="autofit"/>
        <w:tblCellMar>
          <w:top w:w="0" w:type="dxa"/>
          <w:left w:w="108" w:type="dxa"/>
          <w:bottom w:w="0" w:type="dxa"/>
          <w:right w:w="108" w:type="dxa"/>
        </w:tblCellMar>
      </w:tblPr>
      <w:tblGrid>
        <w:gridCol w:w="9936"/>
      </w:tblGrid>
      <w:tr w14:paraId="3ADD396F">
        <w:tblPrEx>
          <w:tblCellMar>
            <w:top w:w="0" w:type="dxa"/>
            <w:left w:w="108" w:type="dxa"/>
            <w:bottom w:w="0" w:type="dxa"/>
            <w:right w:w="108" w:type="dxa"/>
          </w:tblCellMar>
        </w:tblPrEx>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7DEA0EBE">
            <w:pPr>
              <w:spacing w:before="100" w:after="100"/>
            </w:pPr>
            <w:r>
              <w:rPr>
                <w:b/>
                <w:color w:val="1F4E79"/>
                <w:sz w:val="22"/>
              </w:rPr>
              <w:t>Câu 24. Một trang web tin tức trích dẫn toàn bộ nội dung bài viết của tờ báo điện tử khác mà không ghi rõ nguồn, dù chủ sở hữu của bài viết gốc chưa có thông báo ngăn cấm trích dẫn. Theo Luật Công nghệ thông tin, tình huống này vi phạm điều khoản nào? Điều kiện nào để trích dẫn hợp pháp?</w:t>
            </w:r>
          </w:p>
        </w:tc>
      </w:tr>
    </w:tbl>
    <w:p w14:paraId="6C45F803"/>
    <w:p w14:paraId="440C70C5">
      <w:pPr>
        <w:pStyle w:val="3"/>
        <w:rPr>
          <w:b/>
          <w:color w:val="4F81BD"/>
        </w:rPr>
      </w:pPr>
      <w:r>
        <w:rPr>
          <w:b/>
          <w:color w:val="4F81BD"/>
        </w:rPr>
        <w:t>Câu trả lời</w:t>
      </w:r>
    </w:p>
    <w:p w14:paraId="6621AD51">
      <w:pPr>
        <w:pStyle w:val="33"/>
        <w:keepNext w:val="0"/>
        <w:keepLines w:val="0"/>
        <w:widowControl/>
        <w:suppressLineNumbers w:val="0"/>
        <w:spacing w:before="0" w:beforeAutospacing="1" w:after="0" w:afterAutospacing="1"/>
        <w:ind w:left="0" w:right="0"/>
        <w:rPr>
          <w:sz w:val="21"/>
          <w:szCs w:val="21"/>
        </w:rPr>
      </w:pPr>
      <w:r>
        <w:rPr>
          <w:rStyle w:val="34"/>
          <w:sz w:val="21"/>
          <w:szCs w:val="21"/>
        </w:rPr>
        <w:t>1. Căn cứ pháp lý về vi phạm</w:t>
      </w:r>
    </w:p>
    <w:p w14:paraId="7F7F3FCF">
      <w:pPr>
        <w:pStyle w:val="33"/>
        <w:keepNext w:val="0"/>
        <w:keepLines w:val="0"/>
        <w:widowControl/>
        <w:suppressLineNumbers w:val="0"/>
        <w:spacing w:before="0" w:beforeAutospacing="1" w:after="0" w:afterAutospacing="1"/>
        <w:ind w:left="0" w:right="0"/>
        <w:rPr>
          <w:sz w:val="21"/>
          <w:szCs w:val="21"/>
        </w:rPr>
      </w:pPr>
      <w:r>
        <w:rPr>
          <w:sz w:val="21"/>
          <w:szCs w:val="21"/>
        </w:rPr>
        <w:t>Hành vi không ghi rõ nguồn khi trích dẫn vi phạm Khoản 5 Điều 15:</w:t>
      </w:r>
    </w:p>
    <w:p w14:paraId="23128744">
      <w:pPr>
        <w:pStyle w:val="33"/>
        <w:keepNext w:val="0"/>
        <w:keepLines w:val="0"/>
        <w:widowControl/>
        <w:suppressLineNumbers w:val="0"/>
        <w:spacing w:before="0" w:beforeAutospacing="1" w:after="0" w:afterAutospacing="1"/>
        <w:ind w:left="0" w:right="0"/>
        <w:rPr>
          <w:sz w:val="21"/>
          <w:szCs w:val="21"/>
        </w:rPr>
      </w:pPr>
      <w:r>
        <w:rPr>
          <w:rStyle w:val="17"/>
          <w:sz w:val="21"/>
          <w:szCs w:val="21"/>
        </w:rPr>
        <w:t>"Trường hợp được phép trích dẫn thông tin số, tổ chức, cá nhân có trách nhiệm nêu rõ nguồn của thông tin đó."</w:t>
      </w:r>
    </w:p>
    <w:p w14:paraId="6BAD7B85">
      <w:pPr>
        <w:pStyle w:val="33"/>
        <w:keepNext w:val="0"/>
        <w:keepLines w:val="0"/>
        <w:widowControl/>
        <w:suppressLineNumbers w:val="0"/>
        <w:spacing w:before="0" w:beforeAutospacing="1" w:after="0" w:afterAutospacing="1"/>
        <w:ind w:left="0" w:right="0"/>
        <w:rPr>
          <w:sz w:val="21"/>
          <w:szCs w:val="21"/>
        </w:rPr>
      </w:pPr>
      <w:r>
        <w:rPr>
          <w:rStyle w:val="34"/>
          <w:sz w:val="21"/>
          <w:szCs w:val="21"/>
        </w:rPr>
        <w:t>2. Điều kiện để trích dẫn hợp pháp</w:t>
      </w:r>
      <w:r>
        <w:rPr>
          <w:sz w:val="21"/>
          <w:szCs w:val="21"/>
        </w:rPr>
        <w:t xml:space="preserve"> — phải đáp ứng đồng thời:</w:t>
      </w:r>
    </w:p>
    <w:p w14:paraId="095BEE22">
      <w:pPr>
        <w:keepNext w:val="0"/>
        <w:keepLines w:val="0"/>
        <w:widowControl/>
        <w:numPr>
          <w:ilvl w:val="0"/>
          <w:numId w:val="7"/>
        </w:numPr>
        <w:suppressLineNumbers w:val="0"/>
        <w:spacing w:before="0" w:beforeAutospacing="1" w:after="0" w:afterAutospacing="1"/>
        <w:ind w:left="720" w:hanging="360"/>
        <w:rPr>
          <w:sz w:val="21"/>
          <w:szCs w:val="21"/>
        </w:rPr>
      </w:pPr>
      <w:r>
        <w:rPr>
          <w:rStyle w:val="34"/>
          <w:sz w:val="21"/>
          <w:szCs w:val="21"/>
        </w:rPr>
        <w:t>Mục đích chính đáng</w:t>
      </w:r>
      <w:r>
        <w:rPr>
          <w:sz w:val="21"/>
          <w:szCs w:val="21"/>
        </w:rPr>
        <w:t xml:space="preserve"> (Điều 15 K1): tự do sử dụng thông tin số vào mục đích chính đáng, phù hợp pháp luật.</w:t>
      </w:r>
    </w:p>
    <w:p w14:paraId="45032B7B">
      <w:pPr>
        <w:keepNext w:val="0"/>
        <w:keepLines w:val="0"/>
        <w:widowControl/>
        <w:numPr>
          <w:ilvl w:val="0"/>
          <w:numId w:val="7"/>
        </w:numPr>
        <w:suppressLineNumbers w:val="0"/>
        <w:spacing w:before="0" w:beforeAutospacing="1" w:after="0" w:afterAutospacing="1"/>
        <w:ind w:left="720" w:hanging="360"/>
        <w:rPr>
          <w:sz w:val="21"/>
          <w:szCs w:val="21"/>
        </w:rPr>
      </w:pPr>
      <w:r>
        <w:rPr>
          <w:rStyle w:val="34"/>
          <w:sz w:val="21"/>
          <w:szCs w:val="21"/>
        </w:rPr>
        <w:t>Không vi phạm điều kiện cấm</w:t>
      </w:r>
      <w:r>
        <w:rPr>
          <w:sz w:val="21"/>
          <w:szCs w:val="21"/>
        </w:rPr>
        <w:t xml:space="preserve"> (Điều 15 K4): không được trích dẫn khi chủ sở hữu đã có cảnh báo hoặc pháp luật quy định không được phép.</w:t>
      </w:r>
    </w:p>
    <w:p w14:paraId="66B3F424">
      <w:pPr>
        <w:keepNext w:val="0"/>
        <w:keepLines w:val="0"/>
        <w:widowControl/>
        <w:numPr>
          <w:ilvl w:val="0"/>
          <w:numId w:val="7"/>
        </w:numPr>
        <w:suppressLineNumbers w:val="0"/>
        <w:spacing w:before="0" w:beforeAutospacing="1" w:after="0" w:afterAutospacing="1"/>
        <w:ind w:left="720" w:hanging="360"/>
        <w:rPr>
          <w:sz w:val="21"/>
          <w:szCs w:val="21"/>
        </w:rPr>
      </w:pPr>
      <w:r>
        <w:rPr>
          <w:rStyle w:val="34"/>
          <w:sz w:val="21"/>
          <w:szCs w:val="21"/>
        </w:rPr>
        <w:t>Nghĩa vụ ghi nguồn</w:t>
      </w:r>
      <w:r>
        <w:rPr>
          <w:sz w:val="21"/>
          <w:szCs w:val="21"/>
        </w:rPr>
        <w:t xml:space="preserve"> (Điều 15 K5): bắt buộc nêu rõ nguồn của thông tin.</w:t>
      </w:r>
    </w:p>
    <w:p w14:paraId="52FF5327">
      <w:pPr>
        <w:pStyle w:val="33"/>
        <w:keepNext w:val="0"/>
        <w:keepLines w:val="0"/>
        <w:widowControl/>
        <w:suppressLineNumbers w:val="0"/>
        <w:spacing w:before="0" w:beforeAutospacing="1" w:after="0" w:afterAutospacing="1"/>
        <w:ind w:left="0" w:right="0"/>
        <w:rPr>
          <w:sz w:val="21"/>
          <w:szCs w:val="21"/>
        </w:rPr>
      </w:pPr>
      <w:r>
        <w:rPr>
          <w:rStyle w:val="34"/>
          <w:sz w:val="21"/>
          <w:szCs w:val="21"/>
        </w:rPr>
        <w:t>3. Kết luận</w:t>
      </w:r>
    </w:p>
    <w:p w14:paraId="0965EAFB">
      <w:pPr>
        <w:pStyle w:val="33"/>
        <w:keepNext w:val="0"/>
        <w:keepLines w:val="0"/>
        <w:widowControl/>
        <w:suppressLineNumbers w:val="0"/>
        <w:spacing w:before="0" w:beforeAutospacing="1" w:after="0" w:afterAutospacing="1"/>
        <w:ind w:left="0" w:right="0"/>
        <w:rPr>
          <w:sz w:val="21"/>
          <w:szCs w:val="21"/>
        </w:rPr>
      </w:pPr>
      <w:r>
        <w:rPr>
          <w:sz w:val="21"/>
          <w:szCs w:val="21"/>
        </w:rPr>
        <w:t xml:space="preserve">Vi phạm Điều 15 K5 vì không ghi nguồn. Ngoài ra, việc trích dẫn </w:t>
      </w:r>
      <w:r>
        <w:rPr>
          <w:rStyle w:val="34"/>
          <w:sz w:val="21"/>
          <w:szCs w:val="21"/>
        </w:rPr>
        <w:t>toàn bộ</w:t>
      </w:r>
      <w:r>
        <w:rPr>
          <w:sz w:val="21"/>
          <w:szCs w:val="21"/>
        </w:rPr>
        <w:t xml:space="preserve"> nội dung có thể bị coi là vi phạm pháp luật sở hữu trí tuệ, từ đó kích hoạt thêm Điều 15 K4 (cấm trích dẫn khi pháp luật quy định không được phép).</w:t>
      </w:r>
    </w:p>
    <w:p w14:paraId="7203E4C4">
      <w:r>
        <w:rPr>
          <w:b/>
          <w:color w:val="1F4E79"/>
        </w:rPr>
        <w:t>Câu 25</w:t>
      </w:r>
    </w:p>
    <w:tbl>
      <w:tblPr>
        <w:tblStyle w:val="12"/>
        <w:tblW w:w="0" w:type="auto"/>
        <w:jc w:val="center"/>
        <w:tblLayout w:type="autofit"/>
        <w:tblCellMar>
          <w:top w:w="0" w:type="dxa"/>
          <w:left w:w="108" w:type="dxa"/>
          <w:bottom w:w="0" w:type="dxa"/>
          <w:right w:w="108" w:type="dxa"/>
        </w:tblCellMar>
      </w:tblPr>
      <w:tblGrid>
        <w:gridCol w:w="9936"/>
      </w:tblGrid>
      <w:tr w14:paraId="28A16266">
        <w:tblPrEx>
          <w:tblCellMar>
            <w:top w:w="0" w:type="dxa"/>
            <w:left w:w="108" w:type="dxa"/>
            <w:bottom w:w="0" w:type="dxa"/>
            <w:right w:w="108" w:type="dxa"/>
          </w:tblCellMar>
        </w:tblPrEx>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4F4C6666">
            <w:pPr>
              <w:spacing w:before="100" w:after="100"/>
            </w:pPr>
            <w:r>
              <w:rPr>
                <w:b/>
                <w:color w:val="1F4E79"/>
                <w:sz w:val="22"/>
              </w:rPr>
              <w:t>Câu 25. Trong đợt lũ lụt lớn tại miền Trung, Ủy ban nhân dân tỉnh X muốn huy động toàn bộ cơ sở hạ tầng thông tin của một doanh nghiệp tư nhân để phục vụ cứu nạn. Doanh nghiệp có quyền từ chối không? Ai có thẩm quyền ra quyết định huy động này?</w:t>
            </w:r>
          </w:p>
        </w:tc>
      </w:tr>
    </w:tbl>
    <w:p w14:paraId="1146117B"/>
    <w:p w14:paraId="5E322808">
      <w:pPr>
        <w:pStyle w:val="3"/>
      </w:pPr>
      <w:r>
        <w:rPr>
          <w:b/>
          <w:color w:val="4F81BD"/>
        </w:rPr>
        <w:t>Câu trả lời</w:t>
      </w:r>
    </w:p>
    <w:p w14:paraId="0740A3A7">
      <w:pPr>
        <w:spacing w:before="120" w:after="60" w:line="259" w:lineRule="auto"/>
      </w:pPr>
      <w:r>
        <w:rPr>
          <w:b/>
          <w:color w:val="1F4E79"/>
          <w:sz w:val="22"/>
        </w:rPr>
        <w:t>1. Thẩm quyền ra quyết định huy động cơ sở hạ tầng thông tin</w:t>
      </w:r>
    </w:p>
    <w:p w14:paraId="0BAFDCDB">
      <w:pPr>
        <w:spacing w:before="120" w:after="60" w:line="259" w:lineRule="auto"/>
      </w:pPr>
      <w:r>
        <w:rPr>
          <w:b/>
          <w:color w:val="1F4E79"/>
          <w:sz w:val="22"/>
        </w:rPr>
        <w:t>Theo [Luật Công nghệ thông tin (văn bản hợp nhất 2025)] Điều 14, Khoản 1:</w:t>
      </w:r>
    </w:p>
    <w:p w14:paraId="72BA0FC1">
      <w:pPr>
        <w:spacing w:after="60" w:line="259" w:lineRule="auto"/>
      </w:pPr>
      <w:r>
        <w:rPr>
          <w:sz w:val="21"/>
        </w:rPr>
        <w:t>"Cơ quan nhà nước có thẩm quyền quyết định huy động một phần hoặc toàn bộ cơ sở hạ tầng thông tin để ưu tiên phục vụ cho việc ứng dụng công nghệ thông tin khi có một trong các trường hợp khẩn cấp sau đây: a) Phục vụ phòng, chống lụt, bão, hỏa hoạn, thiên tai, thảm họa khác..."</w:t>
      </w:r>
    </w:p>
    <w:p w14:paraId="3576FB16">
      <w:pPr>
        <w:spacing w:after="60" w:line="259" w:lineRule="auto"/>
      </w:pPr>
      <w:r>
        <w:rPr>
          <w:sz w:val="21"/>
        </w:rPr>
        <w:t>Khoảng trống: Luật không quy định cụ thể cơ quan nào là "cơ quan nhà nước có thẩm quyền" trong trường hợp này.</w:t>
      </w:r>
    </w:p>
    <w:p w14:paraId="7FCE31C1">
      <w:pPr>
        <w:spacing w:before="120" w:after="60" w:line="259" w:lineRule="auto"/>
      </w:pPr>
      <w:r>
        <w:rPr>
          <w:b/>
          <w:color w:val="1F4E79"/>
          <w:sz w:val="22"/>
        </w:rPr>
        <w:t>Suy luận bù khoảng trống:</w:t>
      </w:r>
    </w:p>
    <w:p w14:paraId="5F6A6192">
      <w:pPr>
        <w:spacing w:after="60" w:line="259" w:lineRule="auto"/>
      </w:pPr>
      <w:r>
        <w:rPr>
          <w:sz w:val="21"/>
        </w:rPr>
        <w:t>BƯỚC 1 — XÁC ĐỊNH NGUYÊN TẮC GẦN NHẤT: Theo nguyên tắc quản lý thống nhất, khi hai Bộ xung đột mà luật không quy định cơ chế phân giải, Thủ tướng Chính phủ là cơ quan phân giải. Trong trường hợp này, thẩm quyền có thể thuộc về cơ quan có thẩm quyền theo quy định của Chính phủ (Điều 14 Khoản 2).</w:t>
      </w:r>
    </w:p>
    <w:p w14:paraId="6C463687">
      <w:pPr>
        <w:spacing w:after="60" w:line="259" w:lineRule="auto"/>
      </w:pPr>
      <w:r>
        <w:rPr>
          <w:sz w:val="21"/>
        </w:rPr>
        <w:t>BƯỚC 2 — PHÂN CÔNG TRÁCH NHIỆM: Nhà nước có thẩm quyền ra quyết định huy động; doanh nghiệp viễn thông có nghĩa vụ phối hợp theo yêu cầu.</w:t>
      </w:r>
    </w:p>
    <w:p w14:paraId="1F31038D">
      <w:pPr>
        <w:spacing w:after="60" w:line="259" w:lineRule="auto"/>
      </w:pPr>
      <w:r>
        <w:rPr>
          <w:sz w:val="21"/>
        </w:rPr>
        <w:t>BƯỚC 3 — MỨC ĐỘ CHẮC CHẮN: Đây là suy luận từ nguyên tắc quản lý thống nhất — luật chưa quy định tường minh cơ quan cụ thể.</w:t>
      </w:r>
    </w:p>
    <w:p w14:paraId="702ECB9A">
      <w:pPr>
        <w:spacing w:before="120" w:after="60" w:line="259" w:lineRule="auto"/>
      </w:pPr>
      <w:r>
        <w:rPr>
          <w:b/>
          <w:color w:val="1F4E79"/>
          <w:sz w:val="22"/>
        </w:rPr>
        <w:t>2. Quyền từ chối của doanh nghiệp tư nhân</w:t>
      </w:r>
    </w:p>
    <w:p w14:paraId="0C506ECE">
      <w:pPr>
        <w:spacing w:after="60" w:line="259" w:lineRule="auto"/>
      </w:pPr>
      <w:r>
        <w:rPr>
          <w:sz w:val="21"/>
        </w:rPr>
        <w:t>Trích dẫn: Luật không quy định cụ thể về quyền từ chối của doanh nghiệp tư nhân khi bị huy động cơ sở hạ tầng thông tin trong trường hợp khẩn cấp.</w:t>
      </w:r>
    </w:p>
    <w:p w14:paraId="30AD6E19">
      <w:pPr>
        <w:spacing w:before="120" w:after="60" w:line="259" w:lineRule="auto"/>
      </w:pPr>
      <w:r>
        <w:rPr>
          <w:b/>
          <w:color w:val="1F4E79"/>
          <w:sz w:val="22"/>
        </w:rPr>
        <w:t>Phân tích:</w:t>
      </w:r>
    </w:p>
    <w:p w14:paraId="08820157">
      <w:pPr>
        <w:spacing w:after="60" w:line="259" w:lineRule="auto"/>
      </w:pPr>
      <w:r>
        <w:rPr>
          <w:sz w:val="21"/>
        </w:rPr>
        <w:t>Điều 14 Khoản 1 quy định nghĩa vụ huy động nhưng không nêu rõ doanh nghiệp có quyền từ chối hay không.</w:t>
      </w:r>
    </w:p>
    <w:p w14:paraId="391886F0">
      <w:pPr>
        <w:spacing w:after="60" w:line="259" w:lineRule="auto"/>
      </w:pPr>
      <w:r>
        <w:rPr>
          <w:sz w:val="21"/>
        </w:rPr>
        <w:t>Điều 13 Khoản 2 Luật CNTT 2025 chỉ nêu: "Việc ứng dụng công nghệ thông tin vào các hoạt động thuộc lĩnh vực kinh tế - xã hội, đối ngoại, quốc phòng, an ninh; hoạt động phòng, chống lụt, bão, thiên tai, thảm họa khác, cứu hộ, cứu nạn và các hoạt động khác được Nhà nước khuyến khích."</w:t>
      </w:r>
    </w:p>
    <w:p w14:paraId="369B0F3D">
      <w:pPr>
        <w:spacing w:before="120" w:after="60" w:line="259" w:lineRule="auto"/>
      </w:pPr>
      <w:r>
        <w:rPr>
          <w:b/>
          <w:color w:val="1F4E79"/>
          <w:sz w:val="22"/>
        </w:rPr>
        <w:t>Suy luận bù khoảng trống:</w:t>
      </w:r>
    </w:p>
    <w:p w14:paraId="7953EC5E">
      <w:pPr>
        <w:spacing w:after="60" w:line="259" w:lineRule="auto"/>
      </w:pPr>
      <w:r>
        <w:rPr>
          <w:sz w:val="21"/>
        </w:rPr>
        <w:t>BƯỚC 1 — XÁC ĐỊNH NGUYÊN TẮC GẦN NHẤT: Theo nguyên tắc hợp đồng đại lý, doanh nghiệp có thể có quyền từ chối nếu không có cơ sở pháp lý rõ ràng. Tuy nhiên, trong trường hợp khẩn cấp, nguyên tắc ưu tiên quốc gia có thể áp dụng.</w:t>
      </w:r>
    </w:p>
    <w:p w14:paraId="4981B6DD">
      <w:pPr>
        <w:spacing w:after="60" w:line="259" w:lineRule="auto"/>
      </w:pPr>
      <w:r>
        <w:rPr>
          <w:sz w:val="21"/>
        </w:rPr>
        <w:t>BƯỚC 2 — PHÂN CÔNG TRÁCH NHIỆM: Nhà nước có thẩm quyền ra quyết định huy động; doanh nghiệp có nghĩa vụ phối hợp theo yêu cầu.</w:t>
      </w:r>
    </w:p>
    <w:p w14:paraId="48CEBBC3">
      <w:pPr>
        <w:spacing w:after="60" w:line="259" w:lineRule="auto"/>
      </w:pPr>
      <w:r>
        <w:rPr>
          <w:sz w:val="21"/>
        </w:rPr>
        <w:t>BƯỚC 3 — MỨC ĐỘ CHẮC CHẮN: Đây là khoảng trống thực sự — cần quy định chi tiết của Chính phủ.</w:t>
      </w:r>
    </w:p>
    <w:p w14:paraId="09088D91">
      <w:pPr>
        <w:spacing w:after="60" w:line="259" w:lineRule="auto"/>
      </w:pPr>
      <w:r>
        <w:rPr>
          <w:sz w:val="21"/>
        </w:rPr>
        <w:t>Tổng hợp hai luật: [Luật Công nghệ thông tin (văn bản hợp nhất 2025)] Điều 14 Khoản 1 quy định cơ quan nhà nước có thẩm quyền quyết định huy động; [Luật Viễn thông 2023] Điều 13 Khoản 4 quy định doanh nghiệp viễn thông có nghĩa vụ cho thuê hạ tầng kỹ thuật — kết hợp xác định: doanh nghiệp có nghĩa vụ hợp tác nhưng luật không quy định rõ quyền từ chối.</w:t>
      </w:r>
    </w:p>
    <w:p w14:paraId="61353977">
      <w:pPr>
        <w:spacing w:before="120" w:after="60" w:line="259" w:lineRule="auto"/>
      </w:pPr>
      <w:r>
        <w:rPr>
          <w:b/>
          <w:color w:val="1F4E79"/>
          <w:sz w:val="22"/>
        </w:rPr>
        <w:t>Kết luận:</w:t>
      </w:r>
    </w:p>
    <w:p w14:paraId="2962EA4A">
      <w:pPr>
        <w:spacing w:after="60" w:line="259" w:lineRule="auto"/>
      </w:pPr>
      <w:r>
        <w:rPr>
          <w:sz w:val="21"/>
        </w:rPr>
        <w:t>Thẩm quyền: Cơ quan nhà nước có thẩm quyền (cần xác định cụ thể theo quy định của Chính phủ).</w:t>
      </w:r>
    </w:p>
    <w:p w14:paraId="4039C0DA">
      <w:pPr>
        <w:spacing w:after="60" w:line="259" w:lineRule="auto"/>
        <w:rPr>
          <w:sz w:val="21"/>
        </w:rPr>
      </w:pPr>
      <w:r>
        <w:rPr>
          <w:sz w:val="21"/>
        </w:rPr>
        <w:t>Quyền từ chối: Luật không quy định cụ thể — đây là khoảng trống thực sự.</w:t>
      </w:r>
    </w:p>
    <w:p w14:paraId="3E3948E8">
      <w:pPr>
        <w:spacing w:after="60" w:line="259" w:lineRule="auto"/>
        <w:rPr>
          <w:sz w:val="21"/>
        </w:rPr>
      </w:pPr>
    </w:p>
    <w:p w14:paraId="28BAEFA2">
      <w:pPr>
        <w:rPr>
          <w:b/>
          <w:color w:val="1F4E79"/>
        </w:rPr>
      </w:pPr>
      <w:r>
        <w:rPr>
          <w:b/>
          <w:color w:val="1F4E79"/>
        </w:rPr>
        <w:t>Câu 26</w:t>
      </w:r>
    </w:p>
    <w:tbl>
      <w:tblPr>
        <w:tblStyle w:val="12"/>
        <w:tblW w:w="0" w:type="auto"/>
        <w:jc w:val="center"/>
        <w:tblLayout w:type="autofit"/>
        <w:tblCellMar>
          <w:top w:w="0" w:type="dxa"/>
          <w:left w:w="108" w:type="dxa"/>
          <w:bottom w:w="0" w:type="dxa"/>
          <w:right w:w="108" w:type="dxa"/>
        </w:tblCellMar>
      </w:tblPr>
      <w:tblGrid>
        <w:gridCol w:w="9936"/>
      </w:tblGrid>
      <w:tr w14:paraId="4650F6F5">
        <w:tblPrEx>
          <w:tblCellMar>
            <w:top w:w="0" w:type="dxa"/>
            <w:left w:w="108" w:type="dxa"/>
            <w:bottom w:w="0" w:type="dxa"/>
            <w:right w:w="108" w:type="dxa"/>
          </w:tblCellMar>
        </w:tblPrEx>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06B3FEDD">
            <w:pPr>
              <w:spacing w:before="100" w:after="100"/>
            </w:pPr>
            <w:r>
              <w:rPr>
                <w:b/>
                <w:color w:val="1F4E79"/>
                <w:sz w:val="22"/>
              </w:rPr>
              <w:t>Câu 26. Một cơ quan nhà nước cấp huyện có trang thông tin điện tử nhưng không cập nhật thủ tục hành chính trong hơn 1 năm, không có mục lấy ý kiến của công dân, và hệ thống tắt ngoài giờ hành chính. Tình huống này vi phạm bao nhiêu nghĩa vụ cụ thể theo Luật Công nghệ thông tin?</w:t>
            </w:r>
          </w:p>
        </w:tc>
      </w:tr>
    </w:tbl>
    <w:p w14:paraId="1345314A"/>
    <w:p w14:paraId="65005492">
      <w:pPr>
        <w:pStyle w:val="3"/>
      </w:pPr>
      <w:r>
        <w:rPr>
          <w:b/>
          <w:color w:val="4F81BD"/>
        </w:rPr>
        <w:t>Câu trả lời</w:t>
      </w:r>
    </w:p>
    <w:p w14:paraId="483D8A0E">
      <w:pPr>
        <w:spacing w:after="60" w:line="259" w:lineRule="auto"/>
      </w:pPr>
      <w:r>
        <w:rPr>
          <w:sz w:val="21"/>
        </w:rPr>
        <w:t>Theo quy định của Luật Công nghệ thông tin (văn bản hợp nhất 2025), cơ quan nhà nước cấp huyện trong tình huống nêu trên vi phạm 03 nghĩa vụ cụ thể sau đây:</w:t>
      </w:r>
    </w:p>
    <w:p w14:paraId="602C77F8">
      <w:pPr>
        <w:spacing w:before="120" w:after="60" w:line="259" w:lineRule="auto"/>
      </w:pPr>
      <w:r>
        <w:rPr>
          <w:b/>
          <w:color w:val="1F4E79"/>
          <w:sz w:val="22"/>
        </w:rPr>
        <w:t>Vi phạm nghĩa vụ cập nhật thông tin kịp thời:</w:t>
      </w:r>
    </w:p>
    <w:p w14:paraId="31E54077">
      <w:pPr>
        <w:spacing w:after="60" w:line="259" w:lineRule="auto"/>
      </w:pPr>
      <w:r>
        <w:rPr>
          <w:sz w:val="21"/>
        </w:rPr>
        <w:t>Nội dung: Không cập nhật thủ tục hành chính trong hơn 1 năm.</w:t>
      </w:r>
    </w:p>
    <w:p w14:paraId="2221BAAC">
      <w:pPr>
        <w:spacing w:after="60" w:line="259" w:lineRule="auto"/>
      </w:pPr>
      <w:r>
        <w:rPr>
          <w:sz w:val="21"/>
        </w:rPr>
        <w:t>Căn cứ: Điều 28, Khoản 1, điểm d quy định: "Cập nhật thường xuyên và kịp thời thông tin trên trang thông tin điện tử"*.</w:t>
      </w:r>
    </w:p>
    <w:p w14:paraId="6FB75C30">
      <w:pPr>
        <w:spacing w:before="120" w:after="60" w:line="259" w:lineRule="auto"/>
      </w:pPr>
      <w:r>
        <w:rPr>
          <w:b/>
          <w:color w:val="1F4E79"/>
          <w:sz w:val="22"/>
        </w:rPr>
        <w:t>Vi phạm nghĩa vụ cung cấp mục lấy ý kiến:</w:t>
      </w:r>
    </w:p>
    <w:p w14:paraId="07ACE188">
      <w:pPr>
        <w:spacing w:after="60" w:line="259" w:lineRule="auto"/>
      </w:pPr>
      <w:r>
        <w:rPr>
          <w:sz w:val="21"/>
        </w:rPr>
        <w:t>Nội dung: Không có mục lấy ý kiến của công dân.</w:t>
      </w:r>
    </w:p>
    <w:p w14:paraId="3BD409C8">
      <w:pPr>
        <w:spacing w:after="60" w:line="259" w:lineRule="auto"/>
      </w:pPr>
      <w:r>
        <w:rPr>
          <w:sz w:val="21"/>
        </w:rPr>
        <w:t>Căn cứ: Điều 28, Khoản 2, điểm h quy định trang thông tin điện tử phải có: "Mục lấy ý kiến góp ý của tổ chức, cá nhân"*.</w:t>
      </w:r>
    </w:p>
    <w:p w14:paraId="0903B593">
      <w:pPr>
        <w:spacing w:before="120" w:after="60" w:line="259" w:lineRule="auto"/>
      </w:pPr>
      <w:r>
        <w:rPr>
          <w:b/>
          <w:color w:val="1F4E79"/>
          <w:sz w:val="22"/>
        </w:rPr>
        <w:t>Vi phạm nghĩa vụ hoạt động hệ thống ngoài giờ hành chính:</w:t>
      </w:r>
    </w:p>
    <w:p w14:paraId="156AC16F">
      <w:pPr>
        <w:spacing w:after="60" w:line="259" w:lineRule="auto"/>
      </w:pPr>
      <w:r>
        <w:rPr>
          <w:sz w:val="21"/>
        </w:rPr>
        <w:t>Nội dung: Hệ thống tắt ngoài giờ hành chính.</w:t>
      </w:r>
    </w:p>
    <w:p w14:paraId="2366655A">
      <w:pPr>
        <w:spacing w:after="60" w:line="259" w:lineRule="auto"/>
        <w:rPr>
          <w:sz w:val="21"/>
        </w:rPr>
      </w:pPr>
      <w:r>
        <w:rPr>
          <w:sz w:val="21"/>
        </w:rPr>
        <w:t>Căn cứ: Điều 9, Khoản 4, điểm h quy định cơ quan nhà nước phải "Bảo đảm hệ thống thiết bị cung cấp thông tin, lấy ý kiến trên môi trường mạng hoạt động cả trong giờ và ngoài giờ làm việc, trừ trường hợp bất khả kháng"*.</w:t>
      </w:r>
    </w:p>
    <w:p w14:paraId="71999D84">
      <w:pPr>
        <w:spacing w:after="60" w:line="259" w:lineRule="auto"/>
        <w:rPr>
          <w:sz w:val="21"/>
        </w:rPr>
      </w:pPr>
    </w:p>
    <w:p w14:paraId="30AD249B">
      <w:r>
        <w:rPr>
          <w:b/>
          <w:color w:val="1F4E79"/>
        </w:rPr>
        <w:t>Câu 27</w:t>
      </w:r>
    </w:p>
    <w:tbl>
      <w:tblPr>
        <w:tblStyle w:val="12"/>
        <w:tblW w:w="0" w:type="auto"/>
        <w:jc w:val="center"/>
        <w:tblLayout w:type="autofit"/>
        <w:tblCellMar>
          <w:top w:w="0" w:type="dxa"/>
          <w:left w:w="108" w:type="dxa"/>
          <w:bottom w:w="0" w:type="dxa"/>
          <w:right w:w="108" w:type="dxa"/>
        </w:tblCellMar>
      </w:tblPr>
      <w:tblGrid>
        <w:gridCol w:w="9936"/>
      </w:tblGrid>
      <w:tr w14:paraId="280077C7">
        <w:tblPrEx>
          <w:tblCellMar>
            <w:top w:w="0" w:type="dxa"/>
            <w:left w:w="108" w:type="dxa"/>
            <w:bottom w:w="0" w:type="dxa"/>
            <w:right w:w="108" w:type="dxa"/>
          </w:tblCellMar>
        </w:tblPrEx>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0DCDAD96">
            <w:pPr>
              <w:spacing w:before="100" w:after="100"/>
            </w:pPr>
            <w:r>
              <w:rPr>
                <w:b/>
                <w:color w:val="1F4E79"/>
                <w:sz w:val="22"/>
              </w:rPr>
              <w:t>Câu 27. Doanh nghiệp phần mềm A nghiên cứu và phát triển một phần mềm quản lý bệnh viện, sau đó chuyển giao cho Bộ Y tế sử dụng trong hệ thống công. Trong quá trình đó, doanh nghiệp A phát hiện cơ sở dữ liệu bệnh nhân có lỗ hổng bảo mật. Luật Công nghệ thông tin quy định trách nhiệm của doanh nghiệp A và Bộ Y tế như thế nào trong tình huống này?</w:t>
            </w:r>
          </w:p>
        </w:tc>
      </w:tr>
    </w:tbl>
    <w:p w14:paraId="0534DC14"/>
    <w:p w14:paraId="1EFEBC10">
      <w:pPr>
        <w:pStyle w:val="3"/>
      </w:pPr>
      <w:r>
        <w:rPr>
          <w:b/>
          <w:color w:val="4F81BD"/>
        </w:rPr>
        <w:t>Câu trả lời</w:t>
      </w:r>
    </w:p>
    <w:p w14:paraId="67E8990C">
      <w:pPr>
        <w:spacing w:after="60" w:line="259" w:lineRule="auto"/>
      </w:pPr>
      <w:r>
        <w:rPr>
          <w:sz w:val="21"/>
        </w:rPr>
        <w:t>TRẠNG THÁI: B — LUẬT CÓ QUY ĐỊNH + CÓ KHOẢNG TRỐNG</w:t>
      </w:r>
    </w:p>
    <w:p w14:paraId="3898EB1D">
      <w:pPr>
        <w:spacing w:before="120" w:after="60" w:line="259" w:lineRule="auto"/>
      </w:pPr>
      <w:r>
        <w:rPr>
          <w:b/>
          <w:color w:val="1F4E79"/>
          <w:sz w:val="22"/>
        </w:rPr>
        <w:t>1. Căn cứ pháp lý hiện có:</w:t>
      </w:r>
    </w:p>
    <w:p w14:paraId="227F06AA">
      <w:pPr>
        <w:spacing w:before="120" w:after="60" w:line="259" w:lineRule="auto"/>
      </w:pPr>
      <w:r>
        <w:rPr>
          <w:b/>
          <w:color w:val="1F4E79"/>
          <w:sz w:val="22"/>
        </w:rPr>
        <w:t>Tổng hợp hai luật:</w:t>
      </w:r>
    </w:p>
    <w:p w14:paraId="0830639B">
      <w:pPr>
        <w:spacing w:after="60" w:line="259" w:lineRule="auto"/>
      </w:pPr>
      <w:r>
        <w:rPr>
          <w:sz w:val="21"/>
        </w:rPr>
        <w:t>[Luật Công nghệ thông tin (văn bản hợp nhất 2025)] Điều 9, Khoản 3: Quy định trách nhiệm của tổ chức, cá nhân tham gia phát triển công nghệ thông tin phải "Bảo đảm tính toàn vẹn, bảo mật của dữ liệu" (nguyên văn: "a) Bảo đảm tính toàn vẹn, bảo mật của dữ liệu").</w:t>
      </w:r>
    </w:p>
    <w:p w14:paraId="70A02322">
      <w:pPr>
        <w:spacing w:after="60" w:line="259" w:lineRule="auto"/>
      </w:pPr>
      <w:r>
        <w:rPr>
          <w:sz w:val="21"/>
        </w:rPr>
        <w:t>[Luật Công nghệ thông tin (văn bản hợp nhất 2025)] Điều 35, Khoản 2: Quy định tổ chức, cá nhân tiến hành hoạt động y tế trên môi trường mạng phải "tuân thủ quy định của Luật này, pháp luật về y, dược".</w:t>
      </w:r>
    </w:p>
    <w:p w14:paraId="20069D03">
      <w:pPr>
        <w:spacing w:after="60" w:line="259" w:lineRule="auto"/>
      </w:pPr>
      <w:r>
        <w:rPr>
          <w:sz w:val="21"/>
        </w:rPr>
        <w:t>[Luật An ninh mạng 2025] Điều 40, Khoản 1: Quy định chủ quản hệ thống thông tin có trách nhiệm "Thực hiện bảo vệ hệ thống thông tin theo quy định tại Luật này".</w:t>
      </w:r>
    </w:p>
    <w:p w14:paraId="5EE72AB5">
      <w:pPr>
        <w:spacing w:before="120" w:after="60" w:line="259" w:lineRule="auto"/>
      </w:pPr>
      <w:r>
        <w:rPr>
          <w:b/>
          <w:color w:val="1F4E79"/>
          <w:sz w:val="22"/>
        </w:rPr>
        <w:t>2. Phân tích khoảng trống:</w:t>
      </w:r>
    </w:p>
    <w:p w14:paraId="489D5A3A">
      <w:pPr>
        <w:spacing w:after="60" w:line="259" w:lineRule="auto"/>
      </w:pPr>
      <w:r>
        <w:rPr>
          <w:sz w:val="21"/>
        </w:rPr>
        <w:t>Luật KHÔNG quy định cụ thể về quy trình, thời hạn và nghĩa vụ báo cáo khi phát hiện "lỗ hổng bảo mật" (chưa bị khai thác) trong giai đoạn chuyển giao phần mềm.</w:t>
      </w:r>
    </w:p>
    <w:p w14:paraId="6DF9A3FE">
      <w:pPr>
        <w:spacing w:after="60" w:line="259" w:lineRule="auto"/>
      </w:pPr>
      <w:r>
        <w:rPr>
          <w:sz w:val="21"/>
        </w:rPr>
        <w:t>Luật phân biệt rõ giữa "lỗ hổng" (trạng thái tiềm ẩn) và "sự cố" (đã xảy ra xâm phạm).</w:t>
      </w:r>
    </w:p>
    <w:p w14:paraId="0BB1F6CC">
      <w:pPr>
        <w:spacing w:after="60" w:line="259" w:lineRule="auto"/>
      </w:pPr>
      <w:r>
        <w:rPr>
          <w:sz w:val="21"/>
        </w:rPr>
        <w:t>Các điều khoản về báo cáo (ví dụ: Điều 40 Luật An ninh mạng) chủ yếu tập trung vào "sự cố an ninh mạng" hoặc "xâm nhập bất hợp pháp", không đề cập trực tiếp đến việc thông báo lỗ hổng chưa được khai thác.</w:t>
      </w:r>
    </w:p>
    <w:p w14:paraId="5AF1AC5C">
      <w:pPr>
        <w:spacing w:before="120" w:after="60" w:line="259" w:lineRule="auto"/>
      </w:pPr>
      <w:r>
        <w:rPr>
          <w:b/>
          <w:color w:val="1F4E79"/>
          <w:sz w:val="22"/>
        </w:rPr>
        <w:t>3. Suy luận bù khoảng trống:</w:t>
      </w:r>
    </w:p>
    <w:p w14:paraId="3B105000">
      <w:pPr>
        <w:spacing w:before="120" w:after="60" w:line="259" w:lineRule="auto"/>
      </w:pPr>
      <w:r>
        <w:rPr>
          <w:b/>
          <w:color w:val="1F4E79"/>
          <w:sz w:val="22"/>
        </w:rPr>
        <w:t>BƯỚC 1 — XÁC ĐỊNH NGUYÊN TẮC GẦN NHẤT:</w:t>
      </w:r>
    </w:p>
    <w:p w14:paraId="5ABF1B2B">
      <w:pPr>
        <w:spacing w:after="60" w:line="259" w:lineRule="auto"/>
      </w:pPr>
      <w:r>
        <w:rPr>
          <w:sz w:val="21"/>
        </w:rPr>
        <w:t>Nguyên tắc chất lượng sản phẩm: Doanh nghiệp A (nhà phát triển) có nghĩa vụ bảo đảm chất lượng phần mềm trước khi bàn giao (suy từ Điều 9 Khoản 3 Luật CNTT). Việc phát hiện lỗ hổng là nghĩa vụ nội bộ của doanh nghiệp để hoàn thiện sản phẩm.</w:t>
      </w:r>
    </w:p>
    <w:p w14:paraId="1E48EEB4">
      <w:pPr>
        <w:spacing w:after="60" w:line="259" w:lineRule="auto"/>
      </w:pPr>
      <w:r>
        <w:rPr>
          <w:sz w:val="21"/>
        </w:rPr>
        <w:t>Nguyên tắc bảo vệ dữ liệu: Bộ Y tế (chủ quản hệ thống) có nghĩa vụ bảo vệ dữ liệu bệnh nhân (suy từ Điều 40 Luật An ninh mạng). Dù chưa thành sự cố, Bộ Y tế có quyền yêu cầu doanh nghiệp khắc phục trước khi đưa vào vận hành.</w:t>
      </w:r>
    </w:p>
    <w:p w14:paraId="4CE8558C">
      <w:pPr>
        <w:spacing w:before="120" w:after="60" w:line="259" w:lineRule="auto"/>
      </w:pPr>
      <w:r>
        <w:rPr>
          <w:b/>
          <w:color w:val="1F4E79"/>
          <w:sz w:val="22"/>
        </w:rPr>
        <w:t>BƯỚC 2 — PHÂN CÔNG TRÁCH NHIỆM:</w:t>
      </w:r>
    </w:p>
    <w:p w14:paraId="579FCE3D">
      <w:pPr>
        <w:spacing w:after="60" w:line="259" w:lineRule="auto"/>
      </w:pPr>
      <w:r>
        <w:rPr>
          <w:sz w:val="21"/>
        </w:rPr>
        <w:t>Doanh nghiệp A: Chịu trách nhiệm kỹ thuật về lỗ hổng trong phần mềm đã bàn giao. Nghĩa vụ hợp đồng (nếu có) sẽ chi phối việc sửa chữa trước khi bàn giao hoặc cam kết bảo trì.</w:t>
      </w:r>
    </w:p>
    <w:p w14:paraId="0C73A32A">
      <w:pPr>
        <w:spacing w:after="60" w:line="259" w:lineRule="auto"/>
      </w:pPr>
      <w:r>
        <w:rPr>
          <w:sz w:val="21"/>
        </w:rPr>
        <w:t>Bộ Y tế: Có quyền yêu cầu doanh nghiệp khắc phục lỗ hổng để bảo đảm an toàn dữ liệu trước khi phê duyệt đưa vào sử dụng.</w:t>
      </w:r>
    </w:p>
    <w:p w14:paraId="56E09FA7">
      <w:pPr>
        <w:spacing w:before="120" w:after="60" w:line="259" w:lineRule="auto"/>
      </w:pPr>
      <w:r>
        <w:rPr>
          <w:b/>
          <w:color w:val="1F4E79"/>
          <w:sz w:val="22"/>
        </w:rPr>
        <w:t>BƯỚC 3 — MỨC ĐỘ CHẮC CHẮN:</w:t>
      </w:r>
    </w:p>
    <w:p w14:paraId="5116B248">
      <w:pPr>
        <w:spacing w:after="60" w:line="259" w:lineRule="auto"/>
      </w:pPr>
      <w:r>
        <w:rPr>
          <w:sz w:val="21"/>
        </w:rPr>
        <w:t>Đây là suy luận từ nguyên tắc — luật chưa quy định tường minh về quy trình báo cáo lỗ hổng chưa khai thác.</w:t>
      </w:r>
    </w:p>
    <w:p w14:paraId="77B57B61">
      <w:pPr>
        <w:spacing w:before="120" w:after="60" w:line="259" w:lineRule="auto"/>
      </w:pPr>
      <w:r>
        <w:rPr>
          <w:b/>
          <w:color w:val="1F4E79"/>
          <w:sz w:val="22"/>
        </w:rPr>
        <w:t>KẾT LUẬN:</w:t>
      </w:r>
    </w:p>
    <w:p w14:paraId="30400538">
      <w:pPr>
        <w:spacing w:after="60" w:line="259" w:lineRule="auto"/>
      </w:pPr>
      <w:r>
        <w:rPr>
          <w:sz w:val="21"/>
        </w:rPr>
        <w:t>Luật KHÔNG quy định cụ thể nghĩa vụ báo cáo lỗ hổng bảo mật chưa khai thác trong giai đoạn chuyển giao.</w:t>
      </w:r>
    </w:p>
    <w:p w14:paraId="585EFBF4">
      <w:pPr>
        <w:spacing w:after="60" w:line="259" w:lineRule="auto"/>
      </w:pPr>
      <w:r>
        <w:rPr>
          <w:sz w:val="21"/>
        </w:rPr>
        <w:t>Doanh nghiệp A: Có nghĩa vụ bảo đảm tính bảo mật của sản phẩm (căn cứ Điều 9 Khoản 3 Luật CNTT).</w:t>
      </w:r>
    </w:p>
    <w:p w14:paraId="1DF31DED">
      <w:pPr>
        <w:spacing w:after="60" w:line="259" w:lineRule="auto"/>
      </w:pPr>
      <w:r>
        <w:rPr>
          <w:sz w:val="21"/>
        </w:rPr>
        <w:t>Bộ Y tế: Có nghĩa vụ bảo vệ hệ thống và dữ liệu (căn cứ Điều 40 Luật An ninh mạng).</w:t>
      </w:r>
    </w:p>
    <w:p w14:paraId="69B3A603">
      <w:pPr>
        <w:spacing w:after="60" w:line="259" w:lineRule="auto"/>
      </w:pPr>
      <w:r>
        <w:rPr>
          <w:sz w:val="21"/>
        </w:rPr>
        <w:t>Cơ chế xử lý: Phụ thuộc vào thỏa thuận hợp đồng và nguyên tắc bảo đảm an toàn dữ liệu; không có quy định bắt buộc về thời hạn báo cáo lỗ hổng chưa thành sự cố.</w:t>
      </w:r>
    </w:p>
    <w:p w14:paraId="67919617">
      <w:pPr>
        <w:spacing w:after="60" w:line="259" w:lineRule="auto"/>
        <w:rPr>
          <w:sz w:val="21"/>
        </w:rPr>
      </w:pPr>
      <w:r>
        <w:rPr>
          <w:sz w:val="21"/>
        </w:rPr>
        <w:t>Mức độ chắc chắn: Suy luận từ nguyên tắc (luật chưa quy định tường minh).</w:t>
      </w:r>
    </w:p>
    <w:p w14:paraId="34646AA9">
      <w:pPr>
        <w:spacing w:after="60" w:line="259" w:lineRule="auto"/>
        <w:rPr>
          <w:sz w:val="21"/>
        </w:rPr>
      </w:pPr>
    </w:p>
    <w:p w14:paraId="56AC6002">
      <w:r>
        <w:rPr>
          <w:b/>
          <w:color w:val="1F4E79"/>
        </w:rPr>
        <w:t>Câu 28</w:t>
      </w:r>
    </w:p>
    <w:tbl>
      <w:tblPr>
        <w:tblStyle w:val="12"/>
        <w:tblW w:w="0" w:type="auto"/>
        <w:jc w:val="center"/>
        <w:tblLayout w:type="autofit"/>
        <w:tblCellMar>
          <w:top w:w="0" w:type="dxa"/>
          <w:left w:w="108" w:type="dxa"/>
          <w:bottom w:w="0" w:type="dxa"/>
          <w:right w:w="108" w:type="dxa"/>
        </w:tblCellMar>
      </w:tblPr>
      <w:tblGrid>
        <w:gridCol w:w="9936"/>
      </w:tblGrid>
      <w:tr w14:paraId="7B494321">
        <w:tblPrEx>
          <w:tblCellMar>
            <w:top w:w="0" w:type="dxa"/>
            <w:left w:w="108" w:type="dxa"/>
            <w:bottom w:w="0" w:type="dxa"/>
            <w:right w:w="108" w:type="dxa"/>
          </w:tblCellMar>
        </w:tblPrEx>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3FEF31F5">
            <w:pPr>
              <w:spacing w:before="100" w:after="100"/>
            </w:pPr>
            <w:r>
              <w:rPr>
                <w:b/>
                <w:color w:val="1F4E79"/>
                <w:sz w:val="22"/>
              </w:rPr>
              <w:t>Câu 28. Một doanh nghiệp nước ngoài đặt máy chủ tại Việt Nam để cung cấp dịch vụ lưu trữ thông tin (hosting) cho cá nhân, nhưng không thông báo thông tin về giấy phép hoạt động và không công khai địa chỉ liên hệ trên môi trường mạng. Hỏi doanh nghiệp này vi phạm quy định nào và cơ quan nào xử lý?</w:t>
            </w:r>
          </w:p>
        </w:tc>
      </w:tr>
    </w:tbl>
    <w:p w14:paraId="67A9AA34"/>
    <w:p w14:paraId="14A13BA6">
      <w:pPr>
        <w:pStyle w:val="3"/>
      </w:pPr>
      <w:r>
        <w:rPr>
          <w:b/>
          <w:color w:val="4F81BD"/>
        </w:rPr>
        <w:t>Câu trả lời</w:t>
      </w:r>
    </w:p>
    <w:p w14:paraId="2CE7FCF4">
      <w:pPr>
        <w:spacing w:before="120" w:after="60" w:line="259" w:lineRule="auto"/>
      </w:pPr>
      <w:r>
        <w:rPr>
          <w:b/>
          <w:color w:val="1F4E79"/>
          <w:sz w:val="22"/>
        </w:rPr>
        <w:t>PHÂN TÍCH PHÁP LÝ</w:t>
      </w:r>
    </w:p>
    <w:p w14:paraId="21078396">
      <w:pPr>
        <w:spacing w:before="120" w:after="60" w:line="259" w:lineRule="auto"/>
      </w:pPr>
      <w:r>
        <w:rPr>
          <w:b/>
          <w:color w:val="1F4E79"/>
          <w:sz w:val="22"/>
        </w:rPr>
        <w:t>1. HÀNH VI VI PHẠM PHÁP LÝ</w:t>
      </w:r>
    </w:p>
    <w:p w14:paraId="552F46C8">
      <w:pPr>
        <w:spacing w:after="60" w:line="259" w:lineRule="auto"/>
      </w:pPr>
      <w:r>
        <w:rPr>
          <w:sz w:val="21"/>
        </w:rPr>
        <w:t>A. Không công khai giấy phép hoạt động</w:t>
      </w:r>
    </w:p>
    <w:p w14:paraId="778FAD9F">
      <w:pPr>
        <w:spacing w:before="120" w:after="60" w:line="259" w:lineRule="auto"/>
      </w:pPr>
      <w:r>
        <w:rPr>
          <w:b/>
          <w:color w:val="1F4E79"/>
          <w:sz w:val="22"/>
        </w:rPr>
        <w:t>Tổng hợp hai luật:</w:t>
      </w:r>
    </w:p>
    <w:p w14:paraId="1A8490F3">
      <w:pPr>
        <w:spacing w:after="60" w:line="259" w:lineRule="auto"/>
      </w:pPr>
      <w:r>
        <w:rPr>
          <w:sz w:val="21"/>
        </w:rPr>
        <w:t>[Luật Viễn thông 2023] Điều 9, khoản 4: "Thiết lập cơ sở hạ tầng viễn thông, cung cấp dịch vụ viễn thông khi chưa được phép thực hiện theo quy định của Luật này" — hành vi bị nghiêm cấm.</w:t>
      </w:r>
    </w:p>
    <w:p w14:paraId="0C3A79DA">
      <w:pPr>
        <w:spacing w:after="60" w:line="259" w:lineRule="auto"/>
      </w:pPr>
      <w:r>
        <w:rPr>
          <w:sz w:val="21"/>
        </w:rPr>
        <w:t>[Luật Viễn thông 2023] Điều 38: Quy định điều kiện cấp giấy phép nghiệp vụ viễn thông cho tổ chức/doanh nghiệp.</w:t>
      </w:r>
    </w:p>
    <w:p w14:paraId="195BB37B">
      <w:pPr>
        <w:spacing w:before="120" w:after="60" w:line="259" w:lineRule="auto"/>
      </w:pPr>
      <w:r>
        <w:rPr>
          <w:b/>
          <w:color w:val="1F4E79"/>
          <w:sz w:val="22"/>
        </w:rPr>
        <w:t>Phân tích:</w:t>
      </w:r>
    </w:p>
    <w:p w14:paraId="6EEDE400">
      <w:pPr>
        <w:spacing w:after="60" w:line="259" w:lineRule="auto"/>
      </w:pPr>
      <w:r>
        <w:rPr>
          <w:sz w:val="21"/>
        </w:rPr>
        <w:t>Doanh nghiệp nước ngoài cung cấp dịch vụ lưu trữ thông tin (hosting) tại Việt Nam thuộc hoạt động kinh doanh viễn thông. Việc không công khai giấy phép chứng tỏ doanh nghiệp đang hoạt động mà không có giấy phép hoặc không tuân thủ quy định về giấy phép.</w:t>
      </w:r>
    </w:p>
    <w:p w14:paraId="711800FD">
      <w:pPr>
        <w:spacing w:before="120" w:after="60" w:line="259" w:lineRule="auto"/>
      </w:pPr>
      <w:r>
        <w:rPr>
          <w:b/>
          <w:color w:val="1F4E79"/>
          <w:sz w:val="22"/>
        </w:rPr>
        <w:t>Khoảng trống pháp lý:</w:t>
      </w:r>
    </w:p>
    <w:p w14:paraId="544DFD2E">
      <w:pPr>
        <w:spacing w:after="60" w:line="259" w:lineRule="auto"/>
      </w:pPr>
      <w:r>
        <w:rPr>
          <w:sz w:val="21"/>
        </w:rPr>
        <w:t>Luật không quy định tường minh nghĩa vụ "công khai giấy phép" trên môi trường mạng. Tuy nhiên, hành vi "cung cấp dịch vụ viễn thông khi chưa được phép" đã đủ để xác định vi phạm.</w:t>
      </w:r>
    </w:p>
    <w:p w14:paraId="7B215E41">
      <w:pPr>
        <w:spacing w:after="60" w:line="259" w:lineRule="auto"/>
      </w:pPr>
      <w:r>
        <w:rPr>
          <w:sz w:val="21"/>
        </w:rPr>
        <w:t>B. Không công khai địa chỉ liên hệ</w:t>
      </w:r>
    </w:p>
    <w:p w14:paraId="74E07FDA">
      <w:pPr>
        <w:spacing w:before="120" w:after="60" w:line="259" w:lineRule="auto"/>
      </w:pPr>
      <w:r>
        <w:rPr>
          <w:b/>
          <w:color w:val="1F4E79"/>
          <w:sz w:val="22"/>
        </w:rPr>
        <w:t>Tổng hợp hai luật:</w:t>
      </w:r>
    </w:p>
    <w:p w14:paraId="2C3C865D">
      <w:pPr>
        <w:spacing w:after="60" w:line="259" w:lineRule="auto"/>
      </w:pPr>
      <w:r>
        <w:rPr>
          <w:sz w:val="21"/>
        </w:rPr>
        <w:t>[Luật Viễn thông 2023] Điều 13, khoản 2: "Doanh nghiệp cung cấp dịch vụ không có hạ tầng mạng có các nghĩa vụ sau đây: a) Đóng góp tài chính vào Quỹ Dịch vụ viễn thông công ích Việt Nam theo quy định của pháp luật; b) [không có nội dung chi tiết về địa chỉ liên hệ trong vector chunks]"</w:t>
      </w:r>
    </w:p>
    <w:p w14:paraId="1979E017">
      <w:pPr>
        <w:spacing w:after="60" w:line="259" w:lineRule="auto"/>
      </w:pPr>
      <w:r>
        <w:rPr>
          <w:sz w:val="21"/>
        </w:rPr>
        <w:t>[Luật An ninh mạng 2025] Điều 25, khoản 2: "Doanh nghiệp trong nước và nước ngoài khi cung cấp dịch vụ trên mạng viễn thông, mạng Internet, các dịch vụ gia tăng trên không gian mạng tại Việt Nam có trách nhiệm sau đây: a) Xác thực thông tin; b) Bảo mật thông tin; c) Cung cấp thông tin người dùng..."</w:t>
      </w:r>
    </w:p>
    <w:p w14:paraId="270E2095">
      <w:pPr>
        <w:spacing w:before="120" w:after="60" w:line="259" w:lineRule="auto"/>
      </w:pPr>
      <w:r>
        <w:rPr>
          <w:b/>
          <w:color w:val="1F4E79"/>
          <w:sz w:val="22"/>
        </w:rPr>
        <w:t>Phân tích:</w:t>
      </w:r>
    </w:p>
    <w:p w14:paraId="0E88A20C">
      <w:pPr>
        <w:spacing w:after="60" w:line="259" w:lineRule="auto"/>
      </w:pPr>
      <w:r>
        <w:rPr>
          <w:sz w:val="21"/>
        </w:rPr>
        <w:t>Luật không quy định tường minh nghĩa vụ "công khai địa chỉ liên hệ" trên môi trường mạng. Đây là khoảng trống thực sự cần quy định chi tiết.</w:t>
      </w:r>
    </w:p>
    <w:p w14:paraId="50806E04">
      <w:pPr>
        <w:spacing w:before="120" w:after="60" w:line="259" w:lineRule="auto"/>
      </w:pPr>
      <w:r>
        <w:rPr>
          <w:b/>
          <w:color w:val="1F4E79"/>
          <w:sz w:val="22"/>
        </w:rPr>
        <w:t>2. CƠ QUAN NHÀ NƯỚC CÓ THẨM QUYỀN XỬ LÝ</w:t>
      </w:r>
    </w:p>
    <w:p w14:paraId="19F473AC">
      <w:pPr>
        <w:spacing w:after="60" w:line="259" w:lineRule="auto"/>
      </w:pPr>
      <w:r>
        <w:rPr>
          <w:sz w:val="21"/>
        </w:rPr>
        <w:t>A. Cơ quan quản lý nhà nước về viễn thông/CNTT</w:t>
      </w:r>
    </w:p>
    <w:p w14:paraId="79AE02F9">
      <w:pPr>
        <w:spacing w:after="60" w:line="259" w:lineRule="auto"/>
      </w:pPr>
      <w:r>
        <w:rPr>
          <w:sz w:val="21"/>
        </w:rPr>
        <w:t>[Luật Công nghệ thông tin 2025] Điều 7, khoản 2: "Bộ Bưu chính, Viễn thông chịu trách nhiệm trước Chính phủ trong việc chủ trì, phối hợp với bộ, cơ quan ngang bộ có liên quan thực hiện quản lý nhà nước về công nghệ thông tin."</w:t>
      </w:r>
    </w:p>
    <w:p w14:paraId="75A677AA">
      <w:pPr>
        <w:spacing w:after="60" w:line="259" w:lineRule="auto"/>
      </w:pPr>
      <w:r>
        <w:rPr>
          <w:sz w:val="21"/>
        </w:rPr>
        <w:t>[Luật Viễn thông 2023] Điều 13: Quy định quyền, nghĩa vụ của doanh nghiệp viễn thông — chịu sự quản lý của cơ quan nhà nước có thẩm quyền.</w:t>
      </w:r>
    </w:p>
    <w:p w14:paraId="32A3B232">
      <w:pPr>
        <w:spacing w:after="60" w:line="259" w:lineRule="auto"/>
      </w:pPr>
      <w:r>
        <w:rPr>
          <w:sz w:val="21"/>
        </w:rPr>
        <w:t>B. Cơ quan bảo vệ an ninh mạng</w:t>
      </w:r>
    </w:p>
    <w:p w14:paraId="29DF5BB0">
      <w:pPr>
        <w:spacing w:after="60" w:line="259" w:lineRule="auto"/>
      </w:pPr>
      <w:r>
        <w:rPr>
          <w:sz w:val="21"/>
        </w:rPr>
        <w:t>[Luật An ninh mạng 2025] Điều 14, khoản 2: "Lực lượng chuyên trách bảo vệ an ninh mạng thuộc Bộ Công an" có thẩm quyền yêu cầu doanh nghiệp thực hiện các biện pháp bảo vệ an ninh mạng.</w:t>
      </w:r>
    </w:p>
    <w:p w14:paraId="4D29B4E3">
      <w:pPr>
        <w:spacing w:after="60" w:line="259" w:lineRule="auto"/>
      </w:pPr>
      <w:r>
        <w:rPr>
          <w:sz w:val="21"/>
        </w:rPr>
        <w:t>[Luật An ninh mạng 2025] Điều 41, khoản 6: "Phối hợp thực hiện theo hướng dẫn của lực lượng chuyên trách bảo vệ an ninh mạng thuộc Bộ Công an để thiết lập hệ thống kết nối, đấu nối đường truyền..."</w:t>
      </w:r>
    </w:p>
    <w:p w14:paraId="70821394">
      <w:pPr>
        <w:spacing w:before="120" w:after="60" w:line="259" w:lineRule="auto"/>
      </w:pPr>
      <w:r>
        <w:rPr>
          <w:b/>
          <w:color w:val="1F4E79"/>
          <w:sz w:val="22"/>
        </w:rPr>
        <w:t>3. CHẾ TÀI XỬ LÝ</w:t>
      </w:r>
    </w:p>
    <w:p w14:paraId="49CAD641">
      <w:pPr>
        <w:spacing w:after="60" w:line="259" w:lineRule="auto"/>
      </w:pPr>
      <w:r>
        <w:rPr>
          <w:sz w:val="21"/>
        </w:rPr>
        <w:t>[Luật Công nghệ thông tin 2025] Điều 77, khoản 2: "Tổ chức có hành vi vi phạm pháp luật về công nghệ thông tin thì tùy theo tính chất, mức độ vi phạm mà bị xử phạt hành chính, đình chỉ hoạt động, nếu gây thiệt hại thì phải bồi thường theo quy định của pháp luật."</w:t>
      </w:r>
    </w:p>
    <w:p w14:paraId="6FDD1036">
      <w:pPr>
        <w:spacing w:before="120" w:after="60" w:line="259" w:lineRule="auto"/>
      </w:pPr>
      <w:r>
        <w:rPr>
          <w:b/>
          <w:color w:val="1F4E79"/>
          <w:sz w:val="22"/>
        </w:rPr>
        <w:t>4. SUY LUẬN BÙ KHOẢNG TRỐNG</w:t>
      </w:r>
    </w:p>
    <w:p w14:paraId="60D0AACE">
      <w:pPr>
        <w:spacing w:before="120" w:after="60" w:line="259" w:lineRule="auto"/>
      </w:pPr>
      <w:r>
        <w:rPr>
          <w:b/>
          <w:color w:val="1F4E79"/>
          <w:sz w:val="22"/>
        </w:rPr>
        <w:t>BƯỚC 1 — XÁC ĐỊNH NGUYÊN TẮC GẦN NHẤT</w:t>
      </w:r>
    </w:p>
    <w:p w14:paraId="0A129DDE">
      <w:pPr>
        <w:spacing w:after="60" w:line="259" w:lineRule="auto"/>
      </w:pPr>
      <w:r>
        <w:rPr>
          <w:sz w:val="21"/>
        </w:rPr>
        <w:t>Thứ bậc hành chính: Khi hai Bộ (Thông tin và Truyền thông + Công an) xung đột mà luật không quy định cơ chế phân giải, Thủ tướng Chính phủ là cơ quan phân giải theo nguyên tắc quản lý thống nhất (dựa trên [Luật Công nghệ thông tin 2025] Điều 7, khoản 1: "Chính phủ thống nhất quản lý nhà nước về công nghệ thông tin").</w:t>
      </w:r>
    </w:p>
    <w:p w14:paraId="16106526">
      <w:pPr>
        <w:spacing w:after="60" w:line="259" w:lineRule="auto"/>
      </w:pPr>
      <w:r>
        <w:rPr>
          <w:sz w:val="21"/>
        </w:rPr>
        <w:t>Chủ quyền hạ tầng: Dữ liệu lưu trữ trên máy chủ đặt tại Việt Nam → thuộc chủ quyền lãnh thổ → có thẩm quyền can thiệp dù luật chưa quy định tường minh với transit traffic.</w:t>
      </w:r>
    </w:p>
    <w:p w14:paraId="04A2264A">
      <w:pPr>
        <w:spacing w:after="60" w:line="259" w:lineRule="auto"/>
      </w:pPr>
      <w:r>
        <w:rPr>
          <w:sz w:val="21"/>
        </w:rPr>
        <w:t>BƯỚC 2 — PHÂN CÔNG TRÁCH NHIỆM NHÀ NƯỚC / DOANH NGHIỆP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7961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tcPr>
          <w:p w14:paraId="61C6C8AF">
            <w:pPr>
              <w:spacing w:after="0" w:line="240" w:lineRule="auto"/>
            </w:pPr>
            <w:r>
              <w:rPr>
                <w:b/>
                <w:sz w:val="18"/>
              </w:rPr>
              <w:t>Giai đoạn</w:t>
            </w:r>
          </w:p>
        </w:tc>
        <w:tc>
          <w:tcPr>
            <w:tcW w:w="3312" w:type="dxa"/>
            <w:shd w:val="clear" w:color="auto" w:fill="D9EAF7"/>
          </w:tcPr>
          <w:p w14:paraId="0F7E6294">
            <w:pPr>
              <w:spacing w:after="0" w:line="240" w:lineRule="auto"/>
            </w:pPr>
            <w:r>
              <w:rPr>
                <w:b/>
                <w:sz w:val="18"/>
              </w:rPr>
              <w:t>Cơ quan nhà nước</w:t>
            </w:r>
          </w:p>
        </w:tc>
        <w:tc>
          <w:tcPr>
            <w:tcW w:w="3312" w:type="dxa"/>
            <w:shd w:val="clear" w:color="auto" w:fill="D9EAF7"/>
          </w:tcPr>
          <w:p w14:paraId="0A581312">
            <w:pPr>
              <w:spacing w:after="0" w:line="240" w:lineRule="auto"/>
            </w:pPr>
            <w:r>
              <w:rPr>
                <w:b/>
                <w:sz w:val="18"/>
              </w:rPr>
              <w:t>Doanh nghiệp</w:t>
            </w:r>
          </w:p>
        </w:tc>
      </w:tr>
      <w:tr w14:paraId="4348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9F3D2C1">
            <w:pPr>
              <w:spacing w:after="0" w:line="240" w:lineRule="auto"/>
            </w:pPr>
            <w:r>
              <w:rPr>
                <w:sz w:val="18"/>
              </w:rPr>
              <w:t>Phát hiện</w:t>
            </w:r>
          </w:p>
        </w:tc>
        <w:tc>
          <w:tcPr>
            <w:tcW w:w="3312" w:type="dxa"/>
          </w:tcPr>
          <w:p w14:paraId="3F5E813B">
            <w:pPr>
              <w:spacing w:after="0" w:line="240" w:lineRule="auto"/>
            </w:pPr>
            <w:r>
              <w:rPr>
                <w:sz w:val="18"/>
              </w:rPr>
              <w:t>Bộ Công an (lực lượng chuyên trách bảo vệ an ninh mạng)</w:t>
            </w:r>
          </w:p>
        </w:tc>
        <w:tc>
          <w:tcPr>
            <w:tcW w:w="3312" w:type="dxa"/>
          </w:tcPr>
          <w:p w14:paraId="35D3FE92">
            <w:pPr>
              <w:spacing w:after="0" w:line="240" w:lineRule="auto"/>
            </w:pPr>
            <w:r>
              <w:rPr>
                <w:sz w:val="18"/>
              </w:rPr>
              <w:t>—</w:t>
            </w:r>
          </w:p>
        </w:tc>
      </w:tr>
      <w:tr w14:paraId="6F73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223D58B">
            <w:pPr>
              <w:spacing w:after="0" w:line="240" w:lineRule="auto"/>
            </w:pPr>
            <w:r>
              <w:rPr>
                <w:sz w:val="18"/>
              </w:rPr>
              <w:t>Điều tra</w:t>
            </w:r>
          </w:p>
        </w:tc>
        <w:tc>
          <w:tcPr>
            <w:tcW w:w="3312" w:type="dxa"/>
          </w:tcPr>
          <w:p w14:paraId="7C573752">
            <w:pPr>
              <w:spacing w:after="0" w:line="240" w:lineRule="auto"/>
            </w:pPr>
            <w:r>
              <w:rPr>
                <w:sz w:val="18"/>
              </w:rPr>
              <w:t>Bộ Công an phối hợp Bộ Thông tin và Truyền thông</w:t>
            </w:r>
          </w:p>
        </w:tc>
        <w:tc>
          <w:tcPr>
            <w:tcW w:w="3312" w:type="dxa"/>
          </w:tcPr>
          <w:p w14:paraId="52A42DBF">
            <w:pPr>
              <w:spacing w:after="0" w:line="240" w:lineRule="auto"/>
            </w:pPr>
            <w:r>
              <w:rPr>
                <w:sz w:val="18"/>
              </w:rPr>
              <w:t>—</w:t>
            </w:r>
          </w:p>
        </w:tc>
      </w:tr>
      <w:tr w14:paraId="07A9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363E7D8">
            <w:pPr>
              <w:spacing w:after="0" w:line="240" w:lineRule="auto"/>
            </w:pPr>
            <w:r>
              <w:rPr>
                <w:sz w:val="18"/>
              </w:rPr>
              <w:t>Xử lý vi phạm</w:t>
            </w:r>
          </w:p>
        </w:tc>
        <w:tc>
          <w:tcPr>
            <w:tcW w:w="3312" w:type="dxa"/>
          </w:tcPr>
          <w:p w14:paraId="490824AD">
            <w:pPr>
              <w:spacing w:after="0" w:line="240" w:lineRule="auto"/>
            </w:pPr>
            <w:r>
              <w:rPr>
                <w:sz w:val="18"/>
              </w:rPr>
              <w:t>Bộ Thông tin và Truyền thông (quản lý viễn thông)</w:t>
            </w:r>
          </w:p>
        </w:tc>
        <w:tc>
          <w:tcPr>
            <w:tcW w:w="3312" w:type="dxa"/>
          </w:tcPr>
          <w:p w14:paraId="7E01FF66">
            <w:pPr>
              <w:spacing w:after="0" w:line="240" w:lineRule="auto"/>
            </w:pPr>
            <w:r>
              <w:rPr>
                <w:sz w:val="18"/>
              </w:rPr>
              <w:t>—</w:t>
            </w:r>
          </w:p>
        </w:tc>
      </w:tr>
      <w:tr w14:paraId="7A8E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932C6F8">
            <w:pPr>
              <w:spacing w:after="0" w:line="240" w:lineRule="auto"/>
            </w:pPr>
            <w:r>
              <w:rPr>
                <w:sz w:val="18"/>
              </w:rPr>
              <w:t>Phối hợp</w:t>
            </w:r>
          </w:p>
        </w:tc>
        <w:tc>
          <w:tcPr>
            <w:tcW w:w="3312" w:type="dxa"/>
          </w:tcPr>
          <w:p w14:paraId="69B1A38A">
            <w:pPr>
              <w:spacing w:after="0" w:line="240" w:lineRule="auto"/>
            </w:pPr>
            <w:r>
              <w:rPr>
                <w:sz w:val="18"/>
              </w:rPr>
              <w:t>Cả hai cơ quan</w:t>
            </w:r>
          </w:p>
        </w:tc>
        <w:tc>
          <w:tcPr>
            <w:tcW w:w="3312" w:type="dxa"/>
          </w:tcPr>
          <w:p w14:paraId="177640F6">
            <w:pPr>
              <w:spacing w:after="0" w:line="240" w:lineRule="auto"/>
            </w:pPr>
            <w:r>
              <w:rPr>
                <w:sz w:val="18"/>
              </w:rPr>
              <w:t>—</w:t>
            </w:r>
          </w:p>
        </w:tc>
      </w:tr>
      <w:tr w14:paraId="5A41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54C0F46">
            <w:pPr>
              <w:spacing w:after="0" w:line="240" w:lineRule="auto"/>
            </w:pPr>
            <w:r>
              <w:rPr>
                <w:sz w:val="18"/>
              </w:rPr>
              <w:t>Hạ tầng truyền dẫn</w:t>
            </w:r>
          </w:p>
        </w:tc>
        <w:tc>
          <w:tcPr>
            <w:tcW w:w="3312" w:type="dxa"/>
          </w:tcPr>
          <w:p w14:paraId="515E0FC2">
            <w:pPr>
              <w:spacing w:after="0" w:line="240" w:lineRule="auto"/>
            </w:pPr>
            <w:r>
              <w:rPr>
                <w:sz w:val="18"/>
              </w:rPr>
              <w:t>Doanh nghiệp viễn thông</w:t>
            </w:r>
          </w:p>
        </w:tc>
        <w:tc>
          <w:tcPr>
            <w:tcW w:w="3312" w:type="dxa"/>
          </w:tcPr>
          <w:p w14:paraId="374AB668">
            <w:pPr>
              <w:spacing w:after="0" w:line="240" w:lineRule="auto"/>
            </w:pPr>
            <w:r>
              <w:rPr>
                <w:sz w:val="18"/>
              </w:rPr>
              <w:t>—</w:t>
            </w:r>
          </w:p>
        </w:tc>
      </w:tr>
    </w:tbl>
    <w:p w14:paraId="0C0284DC"/>
    <w:p w14:paraId="4D5359EB">
      <w:pPr>
        <w:spacing w:before="120" w:after="60" w:line="259" w:lineRule="auto"/>
      </w:pPr>
      <w:r>
        <w:rPr>
          <w:b/>
          <w:color w:val="1F4E79"/>
          <w:sz w:val="22"/>
        </w:rPr>
        <w:t>BƯỚC 3 — MỨC ĐỘ CHẮC CHẮN</w:t>
      </w:r>
    </w:p>
    <w:p w14:paraId="63E38F55">
      <w:pPr>
        <w:spacing w:after="60" w:line="259" w:lineRule="auto"/>
      </w:pPr>
      <w:r>
        <w:rPr>
          <w:sz w:val="21"/>
        </w:rPr>
        <w:t>Về hành vi vi phạm: Đây là suy luận từ nguyên tắc quản lý thống nhất — luật chưa quy định tường minh nghĩa vụ "công khai giấy phép và địa chỉ liên hệ" trên môi trường mạng.</w:t>
      </w:r>
    </w:p>
    <w:p w14:paraId="74D84E09">
      <w:pPr>
        <w:spacing w:after="60" w:line="259" w:lineRule="auto"/>
      </w:pPr>
      <w:r>
        <w:rPr>
          <w:sz w:val="21"/>
        </w:rPr>
        <w:t>Về cơ quan xử lý: Đây là khoảng trống thực sự — cần quy định chi tiết của Chính phủ về cơ chế phối hợp giữa Bộ Thông tin và Truyền thông và Bộ Công an trong xử lý vi phạm của doanh nghiệp nước ngoài.</w:t>
      </w:r>
    </w:p>
    <w:p w14:paraId="7AA4E171">
      <w:pPr>
        <w:spacing w:before="120" w:after="60" w:line="259" w:lineRule="auto"/>
      </w:pPr>
      <w:r>
        <w:rPr>
          <w:b/>
          <w:color w:val="1F4E79"/>
          <w:sz w:val="22"/>
        </w:rPr>
        <w:t>KẾT LUẬN</w:t>
      </w:r>
    </w:p>
    <w:p w14:paraId="3E507C2C">
      <w:pPr>
        <w:spacing w:after="60" w:line="259" w:lineRule="auto"/>
      </w:pPr>
      <w:r>
        <w:rPr>
          <w:sz w:val="21"/>
        </w:rPr>
        <w:t>Mức độ chắc chắn: (2) PHÂN TÍCH ĐƯỢC</w:t>
      </w:r>
    </w:p>
    <w:p w14:paraId="749DA459">
      <w:pPr>
        <w:spacing w:before="120" w:after="60" w:line="259" w:lineRule="auto"/>
      </w:pPr>
      <w:r>
        <w:rPr>
          <w:b/>
          <w:color w:val="1F4E79"/>
          <w:sz w:val="22"/>
        </w:rPr>
        <w:t>Căn cứ pháp lý xác định hành vi vi phạm:</w:t>
      </w:r>
    </w:p>
    <w:p w14:paraId="011E9ED2">
      <w:pPr>
        <w:spacing w:after="60" w:line="259" w:lineRule="auto"/>
      </w:pPr>
      <w:r>
        <w:rPr>
          <w:sz w:val="21"/>
        </w:rPr>
        <w:t>[Luật Viễn thông 2023] Điều 9, khoản 4: Hành vi cung cấp dịch vụ viễn thông khi chưa được phép là hành vi bị nghiêm cấm.</w:t>
      </w:r>
    </w:p>
    <w:p w14:paraId="34B86A53">
      <w:pPr>
        <w:spacing w:before="120" w:after="60" w:line="259" w:lineRule="auto"/>
      </w:pPr>
      <w:r>
        <w:rPr>
          <w:b/>
          <w:color w:val="1F4E79"/>
          <w:sz w:val="22"/>
        </w:rPr>
        <w:t>Căn cứ pháp lý xác định cơ quan xử lý:</w:t>
      </w:r>
    </w:p>
    <w:p w14:paraId="1AE9769A">
      <w:pPr>
        <w:spacing w:after="60" w:line="259" w:lineRule="auto"/>
      </w:pPr>
      <w:r>
        <w:rPr>
          <w:sz w:val="21"/>
        </w:rPr>
        <w:t>[Luật Công nghệ thông tin 2025] Điều 7, khoản 2: Bộ Bưu chính, Viễn thông chịu trách nhiệm quản lý nhà nước về công nghệ thông tin.</w:t>
      </w:r>
    </w:p>
    <w:p w14:paraId="74AA52ED">
      <w:pPr>
        <w:spacing w:after="60" w:line="259" w:lineRule="auto"/>
      </w:pPr>
      <w:r>
        <w:rPr>
          <w:sz w:val="21"/>
        </w:rPr>
        <w:t>[Luật An ninh mạng 2025] Điều 14, khoản 2: Lực lượng chuyên trách bảo vệ an ninh mạng thuộc Bộ Công an có thẩm quyền yêu cầu doanh nghiệp thực hiện biện pháp bảo vệ an ninh mạng.</w:t>
      </w:r>
    </w:p>
    <w:p w14:paraId="6ECC8C29">
      <w:pPr>
        <w:spacing w:before="120" w:after="60" w:line="259" w:lineRule="auto"/>
      </w:pPr>
      <w:r>
        <w:rPr>
          <w:b/>
          <w:color w:val="1F4E79"/>
          <w:sz w:val="22"/>
        </w:rPr>
        <w:t>Căn cứ pháp lý về chế tài:</w:t>
      </w:r>
    </w:p>
    <w:p w14:paraId="50E50CED">
      <w:pPr>
        <w:spacing w:after="60" w:line="259" w:lineRule="auto"/>
      </w:pPr>
      <w:r>
        <w:rPr>
          <w:sz w:val="21"/>
        </w:rPr>
        <w:t>[Luật Công nghệ thông tin 2025] Điều 77, khoản 2: Tổ chức vi phạm pháp luật về công nghệ thông tin bị xử phạt hành chính, đình chỉ hoạt động.</w:t>
      </w:r>
    </w:p>
    <w:p w14:paraId="3B8FC296">
      <w:pPr>
        <w:spacing w:after="60" w:line="259" w:lineRule="auto"/>
        <w:rPr>
          <w:sz w:val="21"/>
        </w:rPr>
      </w:pPr>
      <w:r>
        <w:rPr>
          <w:sz w:val="21"/>
        </w:rPr>
        <w:t>Lưu ý: Luật không quy định tường minh nghĩa vụ "công khai giấy phép và địa chỉ liên hệ" trên môi trường mạng. Đây là khoảng trống cần quy định chi tiết của Chính phủ.</w:t>
      </w:r>
    </w:p>
    <w:p w14:paraId="5DA9BDEA">
      <w:pPr>
        <w:spacing w:after="60" w:line="259" w:lineRule="auto"/>
        <w:rPr>
          <w:sz w:val="21"/>
        </w:rPr>
      </w:pPr>
    </w:p>
    <w:p w14:paraId="0AA81FA8">
      <w:r>
        <w:rPr>
          <w:b/>
          <w:color w:val="1F4E79"/>
        </w:rPr>
        <w:t>Câu 29</w:t>
      </w:r>
    </w:p>
    <w:tbl>
      <w:tblPr>
        <w:tblStyle w:val="12"/>
        <w:tblW w:w="0" w:type="auto"/>
        <w:jc w:val="center"/>
        <w:tblLayout w:type="autofit"/>
        <w:tblCellMar>
          <w:top w:w="0" w:type="dxa"/>
          <w:left w:w="108" w:type="dxa"/>
          <w:bottom w:w="0" w:type="dxa"/>
          <w:right w:w="108" w:type="dxa"/>
        </w:tblCellMar>
      </w:tblPr>
      <w:tblGrid>
        <w:gridCol w:w="9936"/>
      </w:tblGrid>
      <w:tr w14:paraId="19FBEE14">
        <w:tblPrEx>
          <w:tblCellMar>
            <w:top w:w="0" w:type="dxa"/>
            <w:left w:w="108" w:type="dxa"/>
            <w:bottom w:w="0" w:type="dxa"/>
            <w:right w:w="108" w:type="dxa"/>
          </w:tblCellMar>
        </w:tblPrEx>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4AD6B1C8">
            <w:pPr>
              <w:spacing w:before="100" w:after="100"/>
            </w:pPr>
            <w:r>
              <w:rPr>
                <w:b/>
                <w:color w:val="1F4E79"/>
                <w:sz w:val="22"/>
              </w:rPr>
              <w:t>Câu 29. Một giảng viên đại học trong giờ học trực tuyến vô tình truyền đưa một tài liệu nghiên cứu có chứa số liệu được phân loại là thông tin mật của Nhà nước. Giảng viên không biết đây là tài liệu mật. Trách nhiệm pháp lý trong tình huống này phân bổ ra sao theo Luật Công nghệ thông tin và quy định liên quan?</w:t>
            </w:r>
          </w:p>
        </w:tc>
      </w:tr>
    </w:tbl>
    <w:p w14:paraId="58021ABB"/>
    <w:p w14:paraId="2865ADB9">
      <w:pPr>
        <w:pStyle w:val="3"/>
      </w:pPr>
      <w:r>
        <w:rPr>
          <w:b/>
          <w:color w:val="4F81BD"/>
        </w:rPr>
        <w:t>Câu trả lời</w:t>
      </w:r>
    </w:p>
    <w:p w14:paraId="23902E16">
      <w:pPr>
        <w:spacing w:after="60" w:line="259" w:lineRule="auto"/>
      </w:pPr>
      <w:r>
        <w:rPr>
          <w:sz w:val="21"/>
        </w:rPr>
        <w:t>Tổng hợp hai luật: [Luật Công nghệ thông tin (văn bản hợp nhất 2025)] Điều 12, Khoản 2, điểm c quy định hành vi bị nghiêm cấm; [Luật Công nghệ thông tin (văn bản hợp nhất 2025)] Điều 9 quy định trách nhiệm chung của cá nhân.</w:t>
      </w:r>
    </w:p>
    <w:p w14:paraId="489C4564">
      <w:pPr>
        <w:spacing w:before="120" w:after="60" w:line="259" w:lineRule="auto"/>
      </w:pPr>
      <w:r>
        <w:rPr>
          <w:b/>
          <w:color w:val="1F4E79"/>
          <w:sz w:val="22"/>
        </w:rPr>
        <w:t>Phân tích:</w:t>
      </w:r>
    </w:p>
    <w:p w14:paraId="19B3C219">
      <w:pPr>
        <w:spacing w:after="60" w:line="259" w:lineRule="auto"/>
      </w:pPr>
      <w:r>
        <w:rPr>
          <w:sz w:val="21"/>
        </w:rPr>
        <w:t>[Luật Công nghệ thông tin (văn bản hợp nhất 2025)] Điều 12, Khoản 2, điểm c quy định: "Cung cấp, trao đổi, truyền đưa, lưu trữ, sử dụng thông tin số nhằm mục đích sau đây: ... c) Tiết lộ bí mật nhà nước, bí mật quân sự, an ninh, kinh tế, đối ngoại và những bí mật khác đã được pháp luật quy định".</w:t>
      </w:r>
    </w:p>
    <w:p w14:paraId="5651F52A">
      <w:pPr>
        <w:spacing w:after="60" w:line="259" w:lineRule="auto"/>
      </w:pPr>
      <w:r>
        <w:rPr>
          <w:sz w:val="21"/>
        </w:rPr>
        <w:t>Tuy nhiên, văn bản KHÔNG nêu cụ thể chế tài hoặc mức độ trách nhiệm pháp lý khi hành vi xảy ra do "vô tình" (không có chủ đích) và "không biết" (không nhận thức được tính chất mật) của cá nhân.</w:t>
      </w:r>
    </w:p>
    <w:p w14:paraId="61C1CF98">
      <w:pPr>
        <w:spacing w:after="60" w:line="259" w:lineRule="auto"/>
      </w:pPr>
      <w:r>
        <w:rPr>
          <w:sz w:val="21"/>
        </w:rPr>
        <w:t>&lt;suy_luận_bù_khoảng_trống&gt;</w:t>
      </w:r>
    </w:p>
    <w:p w14:paraId="278EB7A5">
      <w:pPr>
        <w:spacing w:before="120" w:after="60" w:line="259" w:lineRule="auto"/>
      </w:pPr>
      <w:r>
        <w:rPr>
          <w:b/>
          <w:color w:val="1F4E79"/>
          <w:sz w:val="22"/>
        </w:rPr>
        <w:t>BƯỚC 1 — XÁC ĐỊNH NGUYÊN TẮC GẦN NHẤT:</w:t>
      </w:r>
    </w:p>
    <w:p w14:paraId="3AE0E249">
      <w:pPr>
        <w:spacing w:after="60" w:line="259" w:lineRule="auto"/>
      </w:pPr>
      <w:r>
        <w:rPr>
          <w:sz w:val="21"/>
        </w:rPr>
        <w:t>Nguyên tắc chung về trách nhiệm pháp lý trong hoạt động ứng dụng công nghệ thông tin: Cá nhân tham gia hoạt động trên môi trường mạng phải chịu trách nhiệm về nội dung thông tin số của mình trên môi trường mạng ([Luật Công nghệ thông tin (văn bản hợp nhất 2025)] Điều 9, Khoản 1). Tuy nhiên, việc xác định "vô tình" hay "không biết" thường thuộc phạm vi điều chỉnh của nguyên tắc về lỗi (cố ý hay vô ý) trong pháp luật hình sự/hành chính, không được quy định tường minh trong các điều khoản về nghĩa vụ của Luật Công nghệ thông tin đã trích dẫn.</w:t>
      </w:r>
    </w:p>
    <w:p w14:paraId="4036A104">
      <w:pPr>
        <w:spacing w:before="120" w:after="60" w:line="259" w:lineRule="auto"/>
      </w:pPr>
      <w:r>
        <w:rPr>
          <w:b/>
          <w:color w:val="1F4E79"/>
          <w:sz w:val="22"/>
        </w:rPr>
        <w:t>BƯỚC 2 — PHÂN CÔNG TRÁCH NHIỆM:</w:t>
      </w:r>
    </w:p>
    <w:p w14:paraId="584C5CB2">
      <w:pPr>
        <w:spacing w:after="60" w:line="259" w:lineRule="auto"/>
      </w:pPr>
      <w:r>
        <w:rPr>
          <w:sz w:val="21"/>
        </w:rPr>
        <w:t>Nhà nước (Cơ quan chức năng): Có trách nhiệm điều tra, xác định tính chất hành vi (có chủ đích hay vô ý) và phân loại mức độ vi phạm (hành chính, hình sự hoặc kỷ luật).</w:t>
      </w:r>
    </w:p>
    <w:p w14:paraId="5AB0DB7F">
      <w:pPr>
        <w:spacing w:after="60" w:line="259" w:lineRule="auto"/>
      </w:pPr>
      <w:r>
        <w:rPr>
          <w:sz w:val="21"/>
        </w:rPr>
        <w:t>Cá nhân (Giảng viên): Chịu trách nhiệm về nội dung thông tin số của mình trên môi trường mạng. Nếu chứng minh được hoàn toàn vô ý và không có lỗi chủ quan, trách nhiệm có thể được xem xét giảm nhẹ hoặc miễn trừ tùy theo quy định của pháp luật hình sự/hành chính liên quan (không nằm trong Luật Công nghệ thông tin).</w:t>
      </w:r>
    </w:p>
    <w:p w14:paraId="1E59C07F">
      <w:pPr>
        <w:spacing w:after="60" w:line="259" w:lineRule="auto"/>
      </w:pPr>
      <w:r>
        <w:rPr>
          <w:sz w:val="21"/>
        </w:rPr>
        <w:t>Đơn vị quản lý (Đại học): Có trách nhiệm quản lý, giám sát việc sử dụng hệ thống trực tuyến và đào tạo về an toàn thông tin.</w:t>
      </w:r>
    </w:p>
    <w:p w14:paraId="12F96A31">
      <w:pPr>
        <w:spacing w:before="120" w:after="60" w:line="259" w:lineRule="auto"/>
      </w:pPr>
      <w:r>
        <w:rPr>
          <w:b/>
          <w:color w:val="1F4E79"/>
          <w:sz w:val="22"/>
        </w:rPr>
        <w:t>BƯỚC 3 — MỨC ĐỘ CHẮC CHẮN:</w:t>
      </w:r>
    </w:p>
    <w:p w14:paraId="6DFB56AA">
      <w:pPr>
        <w:spacing w:after="60" w:line="259" w:lineRule="auto"/>
        <w:rPr>
          <w:sz w:val="21"/>
        </w:rPr>
      </w:pPr>
      <w:r>
        <w:rPr>
          <w:sz w:val="21"/>
        </w:rPr>
        <w:t>Đây là suy luận từ nguyên tắc quản lý nhà nước về công nghệ thông tin — luật chưa quy định tường minh về chế tài cho trường hợp vô tình tiết lộ thông tin mật.</w:t>
      </w:r>
    </w:p>
    <w:p w14:paraId="6454FB76">
      <w:pPr>
        <w:spacing w:after="60" w:line="259" w:lineRule="auto"/>
        <w:rPr>
          <w:sz w:val="21"/>
        </w:rPr>
      </w:pPr>
    </w:p>
    <w:p w14:paraId="5A942A04">
      <w:r>
        <w:rPr>
          <w:b/>
          <w:color w:val="1F4E79"/>
        </w:rPr>
        <w:t>Câu 30</w:t>
      </w:r>
    </w:p>
    <w:tbl>
      <w:tblPr>
        <w:tblStyle w:val="12"/>
        <w:tblW w:w="0" w:type="auto"/>
        <w:jc w:val="center"/>
        <w:tblLayout w:type="autofit"/>
        <w:tblCellMar>
          <w:top w:w="0" w:type="dxa"/>
          <w:left w:w="108" w:type="dxa"/>
          <w:bottom w:w="0" w:type="dxa"/>
          <w:right w:w="108" w:type="dxa"/>
        </w:tblCellMar>
      </w:tblPr>
      <w:tblGrid>
        <w:gridCol w:w="9936"/>
      </w:tblGrid>
      <w:tr w14:paraId="0B8BA6CB">
        <w:trPr>
          <w:jc w:val="center"/>
        </w:trPr>
        <w:tc>
          <w:tcPr>
            <w:tcW w:w="9936" w:type="dxa"/>
            <w:tcBorders>
              <w:top w:val="single" w:color="4F81BD" w:sz="8" w:space="0"/>
              <w:left w:val="single" w:color="4F81BD" w:sz="8" w:space="0"/>
              <w:bottom w:val="single" w:color="4F81BD" w:sz="8" w:space="0"/>
              <w:right w:val="single" w:color="4F81BD" w:sz="8" w:space="0"/>
            </w:tcBorders>
            <w:shd w:val="clear" w:color="auto" w:fill="EAF3FF"/>
            <w:vAlign w:val="center"/>
          </w:tcPr>
          <w:p w14:paraId="48C02E28">
            <w:pPr>
              <w:spacing w:before="100" w:after="100"/>
            </w:pPr>
            <w:r>
              <w:rPr>
                <w:b/>
                <w:color w:val="1F4E79"/>
                <w:sz w:val="22"/>
              </w:rPr>
              <w:t>Câu 30. Luật Công nghệ thông tin (văn bản hợp nhất) được sửa đổi bổ sung bởi nhiều luật, trong đó có Luật Viễn thông 2023. Nếu có mâu thuẫn giữa quy định về hoạt động viễn thông trên môi trường mạng trong Luật Công nghệ thông tin và Luật Viễn thông 2023, nguyên tắc áp dụng pháp luật nào sẽ được ưu tiên và dựa trên cơ sở điều khoản cụ thể nào?</w:t>
            </w:r>
          </w:p>
        </w:tc>
      </w:tr>
    </w:tbl>
    <w:p w14:paraId="4E8C2AF9"/>
    <w:p w14:paraId="1D6780C5">
      <w:pPr>
        <w:pStyle w:val="3"/>
      </w:pPr>
      <w:r>
        <w:rPr>
          <w:b/>
          <w:color w:val="4F81BD"/>
        </w:rPr>
        <w:t>Câu trả lời</w:t>
      </w:r>
    </w:p>
    <w:p w14:paraId="479AA16D">
      <w:pPr>
        <w:spacing w:before="120" w:after="60" w:line="259" w:lineRule="auto"/>
      </w:pPr>
      <w:r>
        <w:rPr>
          <w:b/>
          <w:color w:val="1F4E79"/>
          <w:sz w:val="22"/>
        </w:rPr>
        <w:t>Nguyên tắc ưu tiên áp dụng:</w:t>
      </w:r>
    </w:p>
    <w:p w14:paraId="071A9D3F">
      <w:pPr>
        <w:spacing w:before="120" w:after="60" w:line="259" w:lineRule="auto"/>
      </w:pPr>
      <w:r>
        <w:rPr>
          <w:b/>
          <w:color w:val="1F4E79"/>
          <w:sz w:val="22"/>
        </w:rPr>
        <w:t>Theo Điều 3, Khoản 1 Luật Công nghệ thông tin (văn bản hợp nhất 2025):</w:t>
      </w:r>
    </w:p>
    <w:p w14:paraId="4F01F795">
      <w:pPr>
        <w:spacing w:after="60" w:line="259" w:lineRule="auto"/>
      </w:pPr>
      <w:r>
        <w:rPr>
          <w:sz w:val="21"/>
        </w:rPr>
        <w:t>"Trường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14:paraId="568362FF">
      <w:pPr>
        <w:spacing w:before="120" w:after="60" w:line="259" w:lineRule="auto"/>
      </w:pPr>
      <w:r>
        <w:rPr>
          <w:b/>
          <w:color w:val="1F4E79"/>
          <w:sz w:val="22"/>
        </w:rPr>
        <w:t>Cơ sở điều khoản:</w:t>
      </w:r>
    </w:p>
    <w:p w14:paraId="5B42DF99">
      <w:pPr>
        <w:spacing w:before="120" w:after="60" w:line="259" w:lineRule="auto"/>
      </w:pPr>
      <w:r>
        <w:rPr>
          <w:b/>
          <w:color w:val="1F4E79"/>
          <w:sz w:val="22"/>
        </w:rPr>
        <w:t>Tổng hợp hai luật:</w:t>
      </w:r>
    </w:p>
    <w:p w14:paraId="53D0F490">
      <w:pPr>
        <w:spacing w:after="60" w:line="259" w:lineRule="auto"/>
      </w:pPr>
      <w:r>
        <w:rPr>
          <w:sz w:val="21"/>
        </w:rPr>
        <w:t>[Luật Công nghệ thông tin (văn bản hợp nhất 2025)] Điều 3, Khoản 1: Quy định nguyên tắc áp dụng khi có sự khác nhau giữa Luật Công nghệ thông tin và luật khác về cùng vấn đề liên quan đến hoạt động ứng dụng và phát triển công nghệ thông tin.</w:t>
      </w:r>
    </w:p>
    <w:p w14:paraId="20BA2800">
      <w:pPr>
        <w:spacing w:after="60" w:line="259" w:lineRule="auto"/>
      </w:pPr>
      <w:r>
        <w:rPr>
          <w:sz w:val="21"/>
        </w:rPr>
        <w:t>[Luật Công nghệ thông tin (văn bản hợp nhất 2025)] Điều 13, Khoản 3: Quy định tổ chức, cá nhân tiến hành hoạt động viễn thông trên môi trường mạng phải thực hiện các quy định của pháp luật về viễn thông và các quy định của Luật Công nghệ thông tin.</w:t>
      </w:r>
    </w:p>
    <w:p w14:paraId="1AA72340">
      <w:pPr>
        <w:spacing w:before="120" w:after="60" w:line="259" w:lineRule="auto"/>
      </w:pPr>
      <w:r>
        <w:rPr>
          <w:b/>
          <w:color w:val="1F4E79"/>
          <w:sz w:val="22"/>
        </w:rPr>
        <w:t>Kết luận:</w:t>
      </w:r>
    </w:p>
    <w:p w14:paraId="2D54CB6E">
      <w:pPr>
        <w:spacing w:after="60" w:line="259" w:lineRule="auto"/>
      </w:pPr>
      <w:r>
        <w:rPr>
          <w:sz w:val="21"/>
        </w:rPr>
        <w:t>Khi có mâu thuẫn giữa quy định về hoạt động viễn thông trên môi trường mạng trong Luật Công nghệ thông tin (văn bản hợp nhất 2025) và Luật Viễn thông 2023:</w:t>
      </w:r>
    </w:p>
    <w:p w14:paraId="03319DA4">
      <w:pPr>
        <w:spacing w:after="60" w:line="259" w:lineRule="auto"/>
      </w:pPr>
      <w:r>
        <w:rPr>
          <w:sz w:val="21"/>
        </w:rPr>
        <w:t>Ưu tiên áp dụng: Quy định của Luật Công nghệ thông tin (văn bản hợp nhất 2025).</w:t>
      </w:r>
    </w:p>
    <w:p w14:paraId="0F538A6D">
      <w:pPr>
        <w:spacing w:after="60" w:line="259" w:lineRule="auto"/>
      </w:pPr>
      <w:r>
        <w:rPr>
          <w:sz w:val="21"/>
        </w:rPr>
        <w:t>Căn cứ: Điều 3, Khoản 1 Luật Công nghệ thông tin (văn bản hợp nhất 2025) — đây là quy định về nguyên tắc áp dụng pháp luật khi có sự khác nhau giữa các văn bản pháp luật.</w:t>
      </w:r>
    </w:p>
    <w:p w14:paraId="069DCB80">
      <w:pPr>
        <w:spacing w:after="60" w:line="259" w:lineRule="auto"/>
      </w:pPr>
      <w:r>
        <w:rPr>
          <w:sz w:val="21"/>
        </w:rPr>
        <w:t>Phạm vi áp dụng: Hoạt động viễn thông trên môi trường mạng thuộc "hoạt động ứng dụng công nghệ thông tin" theo Điều 13, Khoản 3 Luật Công nghệ thông tin.</w:t>
      </w:r>
    </w:p>
    <w:p w14:paraId="2C35C0E9">
      <w:pPr>
        <w:spacing w:after="60" w:line="259" w:lineRule="auto"/>
        <w:rPr>
          <w:sz w:val="21"/>
        </w:rPr>
      </w:pPr>
      <w:r>
        <w:rPr>
          <w:sz w:val="21"/>
        </w:rPr>
        <w:t>Đây là quy định tường minh — luật quy định trực tiếp nguyên tắc ưu tiên áp dụng khi có mâu thuẫn giữa Luật Công nghệ thông tin và luật khác về cùng vấn đề liên quan đến hoạt động ứng dụng công nghệ thông tin.</w:t>
      </w:r>
    </w:p>
    <w:p w14:paraId="11BDFAD0">
      <w:pPr>
        <w:spacing w:after="60" w:line="259" w:lineRule="auto"/>
        <w:rPr>
          <w:sz w:val="21"/>
        </w:rPr>
      </w:pPr>
    </w:p>
    <w:p w14:paraId="20291447">
      <w:pPr>
        <w:spacing w:after="60" w:line="259" w:lineRule="auto"/>
        <w:rPr>
          <w:sz w:val="21"/>
        </w:rPr>
      </w:pPr>
      <w:r>
        <w:drawing>
          <wp:inline distT="0" distB="0" distL="114300" distR="114300">
            <wp:extent cx="6303010" cy="7392670"/>
            <wp:effectExtent l="0" t="0" r="254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303010" cy="7392670"/>
                    </a:xfrm>
                    <a:prstGeom prst="rect">
                      <a:avLst/>
                    </a:prstGeom>
                    <a:noFill/>
                    <a:ln>
                      <a:noFill/>
                    </a:ln>
                  </pic:spPr>
                </pic:pic>
              </a:graphicData>
            </a:graphic>
          </wp:inline>
        </w:drawing>
      </w:r>
      <w:bookmarkStart w:id="0" w:name="_GoBack"/>
      <w:bookmarkEnd w:id="0"/>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3F42B">
    <w:pPr>
      <w:pStyle w:val="18"/>
      <w:jc w:val="center"/>
    </w:pPr>
    <w:r>
      <w:rPr>
        <w:color w:val="787878"/>
        <w:sz w:val="16"/>
      </w:rPr>
      <w:t>Luật Công nghệ thông tin - Tình huống thực tế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09262"/>
    <w:multiLevelType w:val="multilevel"/>
    <w:tmpl w:val="8DF092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D718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5337</Words>
  <Characters>19364</Characters>
  <Lines>0</Lines>
  <Paragraphs>0</Paragraphs>
  <TotalTime>6</TotalTime>
  <ScaleCrop>false</ScaleCrop>
  <LinksUpToDate>false</LinksUpToDate>
  <CharactersWithSpaces>24466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Anh Nguyen</cp:lastModifiedBy>
  <dcterms:modified xsi:type="dcterms:W3CDTF">2026-05-27T04:56:07Z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eyJoZGlkIjoiNzFjNzhlM2M3MDFiYWUyNWU3ZDg0NGEwZTI2MDRhZTUiLCJ1c2VySWQiOiI4ODEzNDA1OTQzOTc1In0=</vt:lpwstr>
  </property>
  <property fmtid="{D5CDD505-2E9C-101B-9397-08002B2CF9AE}" pid="3" name="KSOProductBuildVer">
    <vt:lpwstr>1033-12.1.0.26372</vt:lpwstr>
  </property>
  <property fmtid="{D5CDD505-2E9C-101B-9397-08002B2CF9AE}" pid="4" name="ICV">
    <vt:lpwstr>29C8BA0E092841C39A09D3079F709CF5_12</vt:lpwstr>
  </property>
</Properties>
</file>