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rPr>
          <w:rFonts w:ascii="Lexend" w:cs="Lexend" w:eastAsia="Lexend" w:hAnsi="Lexend"/>
          <w:b/>
          <w:bCs/>
          <w:color w:val="557A4C"/>
          <w:sz w:val="46"/>
          <w:szCs w:val="46"/>
        </w:rPr>
        <w:t xml:space="preserve">Why Northcue exists</w:t>
      </w:r>
    </w:p>
    <w:p>
      <w:pPr>
        <w:spacing w:after="200" w:line="312"/>
      </w:pPr>
      <w:r>
        <w:rPr>
          <w:rFonts w:ascii="Atkinson Hyperlegible" w:cs="Atkinson Hyperlegible" w:eastAsia="Atkinson Hyperlegible" w:hAnsi="Atkinson Hyperlegible"/>
          <w:color w:val="1F2A24"/>
          <w:sz w:val="22"/>
          <w:szCs w:val="22"/>
        </w:rPr>
        <w:t xml:space="preserve">I have always felt different. My brain never stops, and I spend a lot of time imagining how things feel from the other side, how I would feel if it was me.</w:t>
      </w:r>
    </w:p>
    <w:p>
      <w:pPr>
        <w:spacing w:after="200" w:line="312"/>
      </w:pPr>
      <w:r>
        <w:rPr>
          <w:rFonts w:ascii="Atkinson Hyperlegible" w:cs="Atkinson Hyperlegible" w:eastAsia="Atkinson Hyperlegible" w:hAnsi="Atkinson Hyperlegible"/>
          <w:color w:val="1F2A24"/>
          <w:sz w:val="22"/>
          <w:szCs w:val="22"/>
        </w:rPr>
        <w:t xml:space="preserve">A few months ago a friend of mine, a neuroscientist named Bigyan, started explaining to me how differently brains are actually built. After that I could not stop seeing it. I watched the people around me and started noticing the patterns, anxiety, trauma, the small things that make one person freeze where another person shrugs.</w:t>
      </w:r>
    </w:p>
    <w:p>
      <w:pPr>
        <w:spacing w:after="200" w:line="312"/>
      </w:pPr>
      <w:r>
        <w:rPr>
          <w:rFonts w:ascii="Atkinson Hyperlegible" w:cs="Atkinson Hyperlegible" w:eastAsia="Atkinson Hyperlegible" w:hAnsi="Atkinson Hyperlegible"/>
          <w:color w:val="1F2A24"/>
          <w:sz w:val="22"/>
          <w:szCs w:val="22"/>
        </w:rPr>
        <w:t xml:space="preserve">Everyone has a different kind of brain. Around one in six adults in the UK is neurodivergent.</w:t>
      </w:r>
      <w:r>
        <w:rPr>
          <w:rStyle w:val="FootnoteReference"/>
        </w:rPr>
        <w:footnoteReference w:id="1"/>
      </w:r>
      <w:r>
        <w:rPr>
          <w:rFonts w:ascii="Atkinson Hyperlegible" w:cs="Atkinson Hyperlegible" w:eastAsia="Atkinson Hyperlegible" w:hAnsi="Atkinson Hyperlegible"/>
          <w:color w:val="1F2A24"/>
          <w:sz w:val="22"/>
          <w:szCs w:val="22"/>
        </w:rPr>
        <w:t xml:space="preserve"> Almost nothing is built for them. The whole industry builds tools for confident people who want to move faster. Nobody builds for the person who feels their chest tighten when an official envelope comes through the door.</w:t>
      </w:r>
    </w:p>
    <w:p>
      <w:pPr>
        <w:spacing w:after="200" w:line="312"/>
      </w:pPr>
      <w:r>
        <w:rPr>
          <w:rFonts w:ascii="Atkinson Hyperlegible" w:cs="Atkinson Hyperlegible" w:eastAsia="Atkinson Hyperlegible" w:hAnsi="Atkinson Hyperlegible"/>
          <w:color w:val="1F2A24"/>
          <w:sz w:val="22"/>
          <w:szCs w:val="22"/>
        </w:rPr>
        <w:t xml:space="preserve">I wanted to start with one thing. Not everything, one thing, done properly, that makes life a little calmer for the people nobody builds for. That one thing is Northcue.</w:t>
      </w:r>
    </w:p>
    <w:p>
      <w:pPr>
        <w:spacing w:after="200" w:line="312"/>
      </w:pPr>
      <w:r>
        <w:rPr>
          <w:rFonts w:ascii="Atkinson Hyperlegible" w:cs="Atkinson Hyperlegible" w:eastAsia="Atkinson Hyperlegible" w:hAnsi="Atkinson Hyperlegible"/>
          <w:color w:val="1F2A24"/>
          <w:sz w:val="22"/>
          <w:szCs w:val="22"/>
        </w:rPr>
        <w:t xml:space="preserve">When I picture who this is for, I picture a carer.</w:t>
      </w:r>
    </w:p>
    <w:p>
      <w:pPr>
        <w:spacing w:after="200" w:line="312"/>
      </w:pPr>
      <w:r>
        <w:rPr>
          <w:rFonts w:ascii="Atkinson Hyperlegible" w:cs="Atkinson Hyperlegible" w:eastAsia="Atkinson Hyperlegible" w:hAnsi="Atkinson Hyperlegible"/>
          <w:color w:val="1F2A24"/>
          <w:sz w:val="22"/>
          <w:szCs w:val="22"/>
        </w:rPr>
        <w:t xml:space="preserve">Someone holding a council letter that is not about them. They are reading it for a son, a sister, an adult they support, and they have to get it right, because the decision lands on someone else's life. They are tired, they are between phone calls to the NHS or the council, and the letter is written like it was designed to be misread. I want to give that person their time back, and I want the reading to feel calm instead of frightening.</w:t>
      </w:r>
    </w:p>
    <w:p>
      <w:pPr>
        <w:spacing w:after="200" w:line="312"/>
      </w:pPr>
      <w:r>
        <w:rPr>
          <w:rFonts w:ascii="Atkinson Hyperlegible" w:cs="Atkinson Hyperlegible" w:eastAsia="Atkinson Hyperlegible" w:hAnsi="Atkinson Hyperlegible"/>
          <w:color w:val="1F2A24"/>
          <w:sz w:val="22"/>
          <w:szCs w:val="22"/>
        </w:rPr>
        <w:t xml:space="preserve">And the person they care for deserves the same thing. If they want to understand what is happening to them, calmly, in their own time, that should be possible too. Two people, one letter, both ignored by every tool on the market.</w:t>
      </w:r>
    </w:p>
    <w:p>
      <w:pPr>
        <w:spacing w:after="200" w:line="312"/>
      </w:pPr>
      <w:r>
        <w:rPr>
          <w:rFonts w:ascii="Atkinson Hyperlegible" w:cs="Atkinson Hyperlegible" w:eastAsia="Atkinson Hyperlegible" w:hAnsi="Atkinson Hyperlegible"/>
          <w:color w:val="1F2A24"/>
          <w:sz w:val="22"/>
          <w:szCs w:val="22"/>
        </w:rPr>
        <w:t xml:space="preserve">Because that difference, building for fear instead of building for speed, changes everything about how you build.</w:t>
      </w:r>
    </w:p>
    <w:p>
      <w:pPr>
        <w:spacing w:after="200" w:line="312"/>
      </w:pPr>
      <w:r>
        <w:rPr>
          <w:rFonts w:ascii="Atkinson Hyperlegible" w:cs="Atkinson Hyperlegible" w:eastAsia="Atkinson Hyperlegible" w:hAnsi="Atkinson Hyperlegible"/>
          <w:color w:val="1F2A24"/>
          <w:sz w:val="22"/>
          <w:szCs w:val="22"/>
        </w:rPr>
        <w:t xml:space="preserve">It is why my favourite thing in the product is not a feature investors usually ask about. It is focus mode. The whole product exists to reduce, and focus mode is that idea taken seriously, nothing extra to look at, nothing extra to think about, just your document, made clear, finish and go. If your attention is the thing that struggles, the kindest thing software can do is ask less of it.</w:t>
      </w:r>
    </w:p>
    <w:p>
      <w:pPr>
        <w:spacing w:after="200" w:line="312"/>
      </w:pPr>
      <w:r>
        <w:rPr>
          <w:rFonts w:ascii="Atkinson Hyperlegible" w:cs="Atkinson Hyperlegible" w:eastAsia="Atkinson Hyperlegible" w:hAnsi="Atkinson Hyperlegible"/>
          <w:color w:val="1F2A24"/>
          <w:sz w:val="22"/>
          <w:szCs w:val="22"/>
        </w:rPr>
        <w:t xml:space="preserve">And it is why we spent weeks doing something most early products skip. We audited our own engine against the scariest letters we could construct, bailiff notices, eviction letters, scam letters, and we found real problems. Our engine once called a bailiff letter a normal document. We made that impossible. It once repeated a scam's own instructions back to the user. Now it refuses instead. Every fix is tested, and every test is written down.</w:t>
      </w:r>
    </w:p>
    <w:p>
      <w:pPr>
        <w:spacing w:after="200" w:line="312"/>
      </w:pPr>
      <w:r>
        <w:rPr>
          <w:rFonts w:ascii="Atkinson Hyperlegible" w:cs="Atkinson Hyperlegible" w:eastAsia="Atkinson Hyperlegible" w:hAnsi="Atkinson Hyperlegible"/>
          <w:color w:val="1F2A24"/>
          <w:sz w:val="22"/>
          <w:szCs w:val="22"/>
        </w:rPr>
        <w:t xml:space="preserve">Because if you build for people who cannot afford a confident wrong answer, the safety work is not compliance. It is the product.</w:t>
      </w:r>
    </w:p>
    <w:p>
      <w:pPr>
        <w:spacing w:after="200" w:line="312"/>
      </w:pPr>
      <w:r>
        <w:rPr>
          <w:rFonts w:ascii="Atkinson Hyperlegible" w:cs="Atkinson Hyperlegible" w:eastAsia="Atkinson Hyperlegible" w:hAnsi="Atkinson Hyperlegible"/>
          <w:color w:val="1F2A24"/>
          <w:sz w:val="22"/>
          <w:szCs w:val="22"/>
        </w:rPr>
        <w:t xml:space="preserve">In three years, I want the moment a letter lands to feel different. Not, oh no, one more thing to figure out. Just, let's see what this is. That change sounds small. For millions of people in this country, it is the difference between acting on time and freezing for weeks.</w:t>
      </w:r>
    </w:p>
    <w:p>
      <w:pPr>
        <w:spacing w:after="200" w:line="312"/>
      </w:pPr>
      <w:r>
        <w:rPr>
          <w:rFonts w:ascii="Atkinson Hyperlegible" w:cs="Atkinson Hyperlegible" w:eastAsia="Atkinson Hyperlegible" w:hAnsi="Atkinson Hyperlegible"/>
          <w:color w:val="1F2A24"/>
          <w:sz w:val="22"/>
          <w:szCs w:val="22"/>
        </w:rPr>
        <w:t xml:space="preserve">People do not understand information in one way, because brains are not built one way. Some people need to read it in plain words. Some need to hear it read aloud. Some need to see it, as a picture or a timeline, before it makes sense. Some need it one small step at a time, and some need it in the language they actually think in. Northcue will meet people in whichever of those ways works for their brain. That is what building for different brains actually means, and it is where we are going.</w:t>
      </w:r>
    </w:p>
    <w:p>
      <w:pPr>
        <w:spacing w:after="200" w:line="312"/>
      </w:pPr>
      <w:r>
        <w:rPr>
          <w:rFonts w:ascii="Atkinson Hyperlegible" w:cs="Atkinson Hyperlegible" w:eastAsia="Atkinson Hyperlegible" w:hAnsi="Atkinson Hyperlegible"/>
          <w:color w:val="1F2A24"/>
          <w:sz w:val="22"/>
          <w:szCs w:val="22"/>
        </w:rPr>
        <w:t xml:space="preserve">And letters come from somewhere. Councils, the NHS, schools, charities. In time, I want the organisations that send the letters to be the same ones handing people the calm way to read them. The sender pays, the person it serves never has to.</w:t>
      </w:r>
    </w:p>
    <w:p>
      <w:pPr>
        <w:spacing w:after="200" w:line="312"/>
      </w:pPr>
      <w:r>
        <w:rPr>
          <w:rFonts w:ascii="Atkinson Hyperlegible" w:cs="Atkinson Hyperlegible" w:eastAsia="Atkinson Hyperlegible" w:hAnsi="Atkinson Hyperlegible"/>
          <w:color w:val="1F2A24"/>
          <w:sz w:val="22"/>
          <w:szCs w:val="22"/>
        </w:rPr>
        <w:t xml:space="preserve">There are things Northcue will never be. It will never be a chatbot. It will never give advice. It will never invent information that is not in your document. The moment we break those rules, we become the thing our users cannot trust, and trust is the entire product.</w:t>
      </w:r>
    </w:p>
    <w:p>
      <w:pPr>
        <w:spacing w:after="200" w:line="312"/>
      </w:pPr>
      <w:r>
        <w:rPr>
          <w:rFonts w:ascii="Atkinson Hyperlegible" w:cs="Atkinson Hyperlegible" w:eastAsia="Atkinson Hyperlegible" w:hAnsi="Atkinson Hyperlegible"/>
          <w:color w:val="1F2A24"/>
          <w:sz w:val="22"/>
          <w:szCs w:val="22"/>
        </w:rPr>
        <w:t xml:space="preserve">Bigyan once explained to me how differently brains are built. I have not been able to stop seeing it since. Helping people is the thing I actually care about, and technology is the skill I happen to have. Northcue is what happens when I put those two together and refuse to do it carelessly.</w:t>
      </w:r>
    </w:p>
    <w:p>
      <w:pPr>
        <w:spacing w:after="0" w:before="360" w:line="276"/>
      </w:pPr>
      <w:r>
        <w:rPr>
          <w:rFonts w:ascii="Atkinson Hyperlegible" w:cs="Atkinson Hyperlegible" w:eastAsia="Atkinson Hyperlegible" w:hAnsi="Atkinson Hyperlegible"/>
          <w:b/>
          <w:bCs/>
          <w:color w:val="1F2A24"/>
          <w:sz w:val="22"/>
          <w:szCs w:val="22"/>
        </w:rPr>
        <w:t xml:space="preserve">Jash Vaidya</w:t>
      </w:r>
    </w:p>
    <w:p>
      <w:pPr>
        <w:spacing w:before="0" w:line="276"/>
      </w:pPr>
      <w:r>
        <w:rPr>
          <w:rFonts w:ascii="Atkinson Hyperlegible" w:cs="Atkinson Hyperlegible" w:eastAsia="Atkinson Hyperlegible" w:hAnsi="Atkinson Hyperlegible"/>
          <w:color w:val="596172"/>
          <w:sz w:val="22"/>
          <w:szCs w:val="22"/>
        </w:rPr>
        <w:t xml:space="preserve">Founder, Northcue</w:t>
      </w:r>
    </w:p>
    <w:sectPr>
      <w:pgSz w:w="11906" w:h="16838" w:orient="portrait"/>
      <w:pgMar w:top="1560" w:right="1560" w:bottom="1440"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tkinson Hyperlegible" w:cs="Atkinson Hyperlegible" w:eastAsia="Atkinson Hyperlegible" w:hAnsi="Atkinson Hyperlegible"/>
          <w:color w:val="596172"/>
          <w:sz w:val="17"/>
          <w:szCs w:val="17"/>
        </w:rPr>
        <w:t xml:space="preserve">Estimates range from 15 percent (City and Guilds Neurodiversity Index, 2025, approximately 10 million people) to one in seven (Local Government Association).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2026-07-03T17:37:50.474Z</dcterms:created>
  <dcterms:modified xsi:type="dcterms:W3CDTF">2026-07-03T17:37:50.476Z</dcterms:modified>
</cp:coreProperties>
</file>

<file path=docProps/custom.xml><?xml version="1.0" encoding="utf-8"?>
<Properties xmlns="http://schemas.openxmlformats.org/officeDocument/2006/custom-properties" xmlns:vt="http://schemas.openxmlformats.org/officeDocument/2006/docPropsVTypes"/>
</file>