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keepNext/>
      </w:pPr>
      <w:r>
        <w:t>DOCUMENTO DE REGLAS DE NEGOCIO</w:t>
      </w:r>
    </w:p>
    <w:p>
      <w:pPr>
        <w:pStyle w:val="Ttulo2"/>
        <w:keepNext/>
      </w:pPr>
      <w:r>
        <w:t>Plataforma Digital de Micropréstamos para la Región San Martín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Nombre provisional del proyecto: San Martin Finanzas</w:t>
        <w:br/>
        <w:t>Nombre comercial de la plataforma: San Martin Finanzas</w:t>
        <w:br/>
        <w:t>Versión del documento: 1.0</w:t>
        <w:br/>
        <w:t>Fecha de elaboración: 15/08/2026</w:t>
        <w:br/>
        <w:t>Promotor e inversionista: Ing. Ronal Ríos Romero</w:t>
        <w:br/>
        <w:t>Consultoría de software: Carlos Humberto Gonzales y Leonardo Jesús Gonzales</w:t>
      </w:r>
    </w:p>
    <w:p>
      <w:pPr>
        <w:pStyle w:val="Ttulo2"/>
        <w:keepNext/>
      </w:pPr>
      <w:r>
        <w:t>1. Propósito y gobierno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Las reglas expresan decisiones del negocio con independencia de la tecnología. Los valores de precio, exposición, gracia y mora son propuestas referenciales de la fase 2; solo serán política vigente después de aprobación, versionado y validación profesional.</w:t>
      </w:r>
    </w:p>
    <w:p>
      <w:pPr>
        <w:pStyle w:val="Ttulo2"/>
        <w:keepNext/>
      </w:pPr>
      <w:r>
        <w:t>2. Estados de una regla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00"/>
        <w:gridCol w:w="6828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Estado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Significado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Documentada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Derivada de alcance o normativa ya registrada.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preliminar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Valor de referencia para evaluación y piloto.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Pendiente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puede aplicarse hasta decisión responsable.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Aprobada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Cuenta con responsable, fecha, vigencia y evidencia.</w:t>
            </w:r>
          </w:p>
        </w:tc>
      </w:tr>
      <w:t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Reemplazada</w:t>
            </w:r>
          </w:p>
        </w:tc>
        <w:tc>
          <w:tcPr>
            <w:tcW w:type="dxa" w:w="68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Permanece histórica y remite a una nueva versión.</w:t>
            </w:r>
          </w:p>
        </w:tc>
      </w:tr>
    </w:tbl>
    <w:p/>
    <w:p>
      <w:pPr>
        <w:pStyle w:val="Ttulo2"/>
        <w:keepNext/>
      </w:pPr>
      <w:r>
        <w:t>3. Catálogo de reglas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0"/>
        <w:gridCol w:w="3500"/>
        <w:gridCol w:w="3300"/>
        <w:gridCol w:w="1328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ID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Regla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Aplicación / excepción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Trazabilidad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RN-001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Edad y capacidad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Solo se admitirá a persona natural mayor de 18 años con capacidad para contratar.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Bloquear envío si no cumple; validación legal.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RF-001,014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RN-002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Unicidad de identidad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DNI, celular y correo deberán controlarse contra duplicidad y suplantación.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Derivar coincidencias a revisión; no fusionar automáticamente.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RF-001,007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RN-003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Medios verificados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acceso y las acciones sensibles requerirán medios de contacto verificados.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Limitar intentos y registrar evidencia.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RF-002,003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RN-004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Perfil vigente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Datos relevantes deberán actualizarse antes de cada nueva evaluación.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Solicitar confirmación cuando exceda vigencia configurada.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RF-004,018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RN-005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Consentimiento por finalidad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Privacidad, evaluación, comunicaciones transaccionales y marketing se gestionarán separadamente.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Marketing nunca será requisito para solicitar crédito.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RF-005,006,037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RN-006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Identidad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Ninguna solicitud será aprobada sin identidad razonablemente verificada y revisión de alertas.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La falla del proveedor no equivale a rechazo automático.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RF-007,008,018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RN-007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Ámbito regional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piloto atenderá únicamente residencia o vinculación válida con San Martín.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Criterios documentales exactos quedan pendientes del inversionista y abogado.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RF-009,010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RN-008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Solicitud activa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Una persona no podrá mantener más de una solicitud activa.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Cerrar o cancelar la anterior antes de crear otra.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RF-014,015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RN-009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Préstamo activo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Durante el piloto solo se permitirá un préstamo activo por cliente.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otorgar un crédito para cancelar deuda vigente.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RF-015,027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RN-010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Nivel ingreso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Cliente nuevo: S/300-S/800, 4 meses y 45% TEA.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Propuesta preliminar; aprobación financiera y legal.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RF-012,022,040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RN-011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Nivel recurrente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Tras dos créditos puntuales: S/500-S/1,500, 4 o 6 meses y 38% TEA.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Reevaluar capacidad; no incremento automático.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RF-012,022,040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RN-012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Nivel preferente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Tras cuatro créditos puntuales: S/1,000-S/2,500, 6 o 9 meses y 32% TEA.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Activar después del piloto; tope MVP S/1,500.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RF-012,022,040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RN-013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Exposición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saldo total por cliente no superará S/1,500 durante el MVP.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 límite de cartera dependerá del capital formalmente aprobado.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RF-020,021,044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RN-014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Transparencia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Antes de solicitar y contratar se mostrará monto neto, cuota, fechas, TEA, TCEA estimada, total y costo por S/100.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ocultar cargos en enlaces secundarios.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RF-012,013,023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RN-015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Capacidad de pago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cuota deberá ser compatible con ingresos y obligaciones verificables.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Método y ratio exactos pendientes del especialista financiero.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RF-018,020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RN-016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Decisión motivada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Toda aprobación, observación o rechazo tendrá motivo, responsable y datos evaluados.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La comunicación al cliente excluirá controles antifraude sensibles.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RN-017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Excepción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Cambios fuera de parámetros requerirán justificación y doble aprobación.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podrán exceder límites legales ni de exposición.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RF-021,022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RN-018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Aceptación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No habrá desembolso sin oferta, contrato, cronograma y aceptación expresa vigente.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La validez del mecanismo será revisada por abogado.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RF-023,024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RN-019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Destino del desembolso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dinero se enviará solo a cuenta o medio validado del titular.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Excepciones no permitidas en el MVP.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RF-025,026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RN-020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Activación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préstamo se activa al confirmar el desembolso; un intento fallido no genera deuda.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Reversos deben conservar trazabilidad.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RF-026,027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RN-021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 válido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Un pago exige importe, fecha, canal y referencia única; será efectivo al conciliarse.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duplicar por reintento.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RF-030,031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RN-022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Imputación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Propuesta: mora devengada permitida, interés compensatorio vencido y capital, sin comisiones base.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Orden final sujeto a revisión legal/contable y contrato.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RF-031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RN-023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Reverso de pago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Solo personal autorizado podrá revertir; el sistema recalculará saldos y registrará motivo.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borrar el pago original.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RN-024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Prepago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El cliente podrá pagar anticipadamente sin penalidad, con intereses solo hasta la fecha aplicable.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Emitir liquidación y constancia.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RF-033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RN-025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Gracia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Se proponen 3 días calendario de gracia después del vencimiento sin cargo moratorio.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cambia la fecha contractual ni el estado de puntualidad hasta validación.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RN-026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Mora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Después de la gracia se propone 12% TEA moratoria solo sobre capital vencido, sin cargo fijo ni capitalización.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Verificar tope BCRP vigente y aprobación legal en cada versión.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RN-027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Cobranza respetuosa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No se revelará deuda a terceros ni se usarán amenazas, hostigamiento o contactos no autorizados.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Toda gestión se registrará.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RF-035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RN-028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Regularización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Acuerdos serán excepcionales, aprobados y documentados; no se financiará deuda con un préstamo nuevo.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Producto de refinanciamiento queda fuera del MVP.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RF-036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RN-029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Comunicaciones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Mensajes transaccionales usarán canales oficiales; marketing exige consentimiento válido.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Permitir baja sencilla de marketing.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RF-037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RN-030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Reclamos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Todo reclamo tendrá constancia, responsable y atención dentro del plazo legal vigente.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Canal digital visible y sin patrones oscuros.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RF-038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RN-031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Segregación operativa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Roles limitarán evaluación, aprobación, desembolso, reverso, parámetros y auditoría.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Accesos temporales deberán caducar.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RF-039,042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RN-032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Versionado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Cambios de tasa, monto, plazo, gracia o mora regirán hacia futuro y conservarán versión.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No alterar préstamos ya contratados.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RF-040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RN-033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Cumplimiento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Antes de dinero real se completarán registro SBS/UIF, SPLAFT y controles KYC/PEP aplicables.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Alertas confidenciales; no avisar al cliente sobre ROS.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RF-041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RN-034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Gatillos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Puntualidad &lt;90%, pérdida neta &gt;3.5% o costo operativo &gt;S/15 congelan expansión y obligan revisión.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Metas preliminares de fase 2.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RF-043,044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RN-035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Pausa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Fraude &gt;1%, incidente grave o incumplimiento crítico permitirá detener originación.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Pagos, reclamos y acceso a información deberán continuar.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RF-044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RN-036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Cálculo de TEM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TEM=(1+TEA)^(1/12)-1, usando precisión interna suficiente.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Mostrar con cuatro decimales; calcular con precisión completa.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RF-012,028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RN-037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Cuota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Para cuota constante: C=P*r/[1-(1+r)^(-n)], con r=TEM.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Redondear a céntimos y ajustar la última cuota por residual.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RF-012,028</w:t>
            </w:r>
          </w:p>
        </w:tc>
      </w:tr>
      <w:t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RN-038</w:t>
            </w:r>
          </w:p>
        </w:tc>
        <w:tc>
          <w:tcPr>
            <w:tcW w:type="dxa" w:w="3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TCEA</w:t>
            </w:r>
            <w:r>
              <w:br/>
            </w:r>
            <w:r>
              <w:rPr>
                <w:rFonts w:ascii="Arial" w:hAnsi="Arial" w:eastAsia="Arial"/>
                <w:b w:val="0"/>
                <w:sz w:val="22"/>
              </w:rPr>
              <w:t>La TCEA se obtendrá de la tasa interna anualizada de todos los flujos reales del cliente.</w:t>
            </w:r>
          </w:p>
        </w:tc>
        <w:tc>
          <w:tcPr>
            <w:tcW w:type="dxa" w:w="33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Incluir cargos obligatorios si se aprobaran; producto base propone cero.</w:t>
            </w:r>
          </w:p>
        </w:tc>
        <w:tc>
          <w:tcPr>
            <w:tcW w:type="dxa" w:w="13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RF-012,023</w:t>
            </w:r>
          </w:p>
        </w:tc>
      </w:tr>
    </w:tbl>
    <w:p/>
    <w:p>
      <w:pPr>
        <w:pStyle w:val="Ttulo2"/>
        <w:keepNext/>
      </w:pPr>
      <w:r>
        <w:t>4. Fórmulas y redondeo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TEM = (1 + TEA)^(1/12) - 1.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Cuota constante = P × r / [1 - (1 + r)^(-n)], donde P es principal, r es TEM y n es número de cuotas.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La aplicación calculará con precisión interna suficiente, mostrará moneda con dos decimales y ajustará la última cuota por el residual generado por redondeo. La TCEA se estimará resolviendo la tasa interna de todos los flujos reales del cliente; cualquier gasto obligatorio deberá incorporarse.</w:t>
      </w:r>
    </w:p>
    <w:p>
      <w:pPr>
        <w:pStyle w:val="Ttulo2"/>
        <w:keepNext/>
      </w:pPr>
      <w:r>
        <w:t>5. Ejemplos de control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000"/>
        <w:gridCol w:w="1100"/>
        <w:gridCol w:w="1100"/>
        <w:gridCol w:w="1200"/>
        <w:gridCol w:w="1800"/>
        <w:gridCol w:w="1028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Monto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TEA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TEM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Plazo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Cuota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Total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22"/>
              </w:rPr>
              <w:t>Interés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S/300.00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45.00%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3.1448%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 meses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S/80.99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S/323.95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S/23.95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S/500.00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45.00%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3.1448%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 meses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S/134.98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S/539.92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S/39.92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S/800.00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45.00%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3.1448%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4 meses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S/215.97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S/863.87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S/63.87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S/1,000.00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38.00%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2.7204%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6 meses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S/182.89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S/1,097.34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S/97.34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S/1,500.00</w:t>
            </w:r>
          </w:p>
        </w:tc>
        <w:tc>
          <w:tcPr>
            <w:tcW w:type="dxa" w:w="1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38.00%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2.7204%</w:t>
            </w:r>
          </w:p>
        </w:tc>
        <w:tc>
          <w:tcPr>
            <w:tcW w:type="dxa" w:w="11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6 meses</w:t>
            </w:r>
          </w:p>
        </w:tc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S/274.34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S/1,646.01</w:t>
            </w:r>
          </w:p>
        </w:tc>
        <w:tc>
          <w:tcPr>
            <w:tcW w:type="dxa" w:w="1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22"/>
              </w:rPr>
              <w:t>S/146.01</w:t>
            </w:r>
          </w:p>
        </w:tc>
      </w:tr>
    </w:tbl>
    <w:p/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Los totales se basan en la cuota matemática multiplicada por el número de periodos; el cronograma contractual deberá ajustar céntimos en la última cuota para cuadrar exactamente capital e interés.</w:t>
      </w:r>
    </w:p>
    <w:p>
      <w:pPr>
        <w:pStyle w:val="Ttulo2"/>
        <w:keepNext/>
      </w:pPr>
      <w:r>
        <w:t>6. Jerarquía y conflictos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La ley y los límites vigentes prevalecen sobre cualquier regla interna.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El contrato aprobado prevalece para un préstamo ya celebrado.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La versión vigente de reglas aplica a nuevas ofertas desde su fecha efectiva.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Una excepción nunca puede superar un límite legal o de capital.</w:t>
      </w:r>
    </w:p>
    <w:p>
      <w:pPr>
        <w:numPr>
          <w:ilvl w:val="0"/>
          <w:numId w:val="2"/>
        </w:numPr>
        <w:spacing w:line="276" w:lineRule="auto"/>
      </w:pPr>
      <w:r>
        <w:rPr>
          <w:rFonts w:ascii="Arial" w:hAnsi="Arial" w:eastAsia="Arial"/>
          <w:b w:val="0"/>
          <w:sz w:val="22"/>
        </w:rPr>
        <w:t>Ante conflicto, se pausa la acción afectada y se registra decisión del responsable.</w:t>
      </w:r>
    </w:p>
    <w:p>
      <w:pPr>
        <w:pStyle w:val="Ttulo2"/>
        <w:keepNext/>
      </w:pPr>
      <w:r>
        <w:t>7. Matriz de aprobación</w:t>
      </w:r>
    </w:p>
    <w:tbl>
      <w:tblPr>
        <w:tblStyle w:val="TableNormal"/>
        <w:tblW w:type="dxa" w:w="902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00"/>
        <w:gridCol w:w="2500"/>
        <w:gridCol w:w="4028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Materia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Propietario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Validadores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Elegibilidad y producto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Analista y finanzas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Tasas, cálculos, mora y exposición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Inversionista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Finanzas, abogado y contador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KYC y SPLAFT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Oficial de cumplimiento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Abogado y gerencia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Privacidad y consumidor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Gerencia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Abogado y privacidad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Accesos y auditoría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Responsable técnico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Seguridad y cumplimiento</w:t>
            </w:r>
          </w:p>
        </w:tc>
      </w:tr>
      <w:tr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Cambios y excepciones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Propietario de la materia</w:t>
            </w:r>
          </w:p>
        </w:tc>
        <w:tc>
          <w:tcPr>
            <w:tcW w:type="dxa" w:w="40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22"/>
              </w:rPr>
              <w:t>Segundo aprobador definido</w:t>
            </w:r>
          </w:p>
        </w:tc>
      </w:tr>
    </w:tbl>
    <w:p/>
    <w:p>
      <w:pPr>
        <w:pStyle w:val="Ttulo2"/>
        <w:keepNext/>
      </w:pPr>
      <w:r>
        <w:t>8. Fuentes oficiales de vigencia</w:t>
      </w:r>
    </w:p>
    <w:p>
      <w:pPr>
        <w:spacing w:line="276" w:lineRule="auto"/>
      </w:pPr>
      <w:r>
        <w:rPr>
          <w:rFonts w:ascii="Arial" w:hAnsi="Arial" w:eastAsia="Arial"/>
          <w:b w:val="0"/>
          <w:sz w:val="22"/>
        </w:rPr>
        <w:t>SBS, registro de empresas de préstamos: https://www.sbs.gob.pe/supervisados-y-registros/registros/otros-registros/casas-de-cambio-prestamos-y-empenos/informacion-sobre-registro-de-casas-de-cambio-prestamos-y-o-empenos</w:t>
        <w:br/>
        <w:t>BCRP, tasa máxima mayo-octubre 2026: https://www.bcrp.gob.pe/docs/Transparencia/Notas-Informativas/2026/nota-informativa-2026-04-07.pdf</w:t>
        <w:br/>
        <w:t>MINJUSDH, Reglamento de la Ley 29733: Decreto Supremo 016-2024-JUS</w:t>
        <w:br/>
        <w:t>INDECOPI, comercio electrónico: Decreto Legislativo 1729 y reglamentación en proceso al corte documental.</w:t>
      </w:r>
    </w:p>
    <w:sectPr w:rsidR="009A1D1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