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  <w:keepNext/>
      </w:pPr>
      <w:r>
        <w:t>GLOSARIO DEL NEGOCIO</w:t>
      </w:r>
    </w:p>
    <w:p>
      <w:pPr>
        <w:pStyle w:val="Ttulo2"/>
        <w:keepNext/>
      </w:pPr>
      <w:r>
        <w:t>Plataforma Digital de Micropréstamos para la Región San Martín</w:t>
      </w:r>
    </w:p>
    <w:p>
      <w:pPr>
        <w:spacing w:line="276" w:lineRule="auto"/>
      </w:pPr>
      <w:r>
        <w:rPr>
          <w:rFonts w:ascii="Arial" w:hAnsi="Arial" w:eastAsia="Arial"/>
          <w:b w:val="0"/>
          <w:sz w:val="22"/>
        </w:rPr>
        <w:t>Nombre provisional del proyecto: San Martin Finanzas</w:t>
        <w:br/>
        <w:t>Nombre comercial de la plataforma: San Martin Finanzas</w:t>
        <w:br/>
        <w:t>Versión del documento: 1.0</w:t>
        <w:br/>
        <w:t>Fecha de elaboración: 15/08/2026</w:t>
        <w:br/>
        <w:t>Promotor e inversionista: Ing. Ronal Ríos Romero</w:t>
        <w:br/>
        <w:t>Consultoría de software: Carlos Humberto Gonzales y Leonardo Jesús Gonzales</w:t>
      </w:r>
    </w:p>
    <w:p>
      <w:pPr>
        <w:pStyle w:val="Ttulo2"/>
        <w:keepNext/>
      </w:pPr>
      <w:r>
        <w:t>1. Propósito y uso</w:t>
      </w:r>
    </w:p>
    <w:p>
      <w:pPr>
        <w:spacing w:line="276" w:lineRule="auto"/>
      </w:pPr>
      <w:r>
        <w:rPr>
          <w:rFonts w:ascii="Arial" w:hAnsi="Arial" w:eastAsia="Arial"/>
          <w:b w:val="0"/>
          <w:sz w:val="22"/>
        </w:rPr>
        <w:t>Este glosario establece términos preferidos para evitar que negocio, especialistas y tecnología usen palabras iguales con significados distintos. No reemplaza definiciones legales, contables o financieras especializadas.</w:t>
      </w:r>
    </w:p>
    <w:p>
      <w:pPr>
        <w:pStyle w:val="Ttulo2"/>
        <w:keepNext/>
      </w:pPr>
      <w:r>
        <w:t>2. Reglas terminológicas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Usar el término preferido en requisitos, reglas, contratos y reportes.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No usar tasa de interés como sinónimo indistinto de TEM, TEA o TCEA.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No llamar aprobado a una solicitud observada ni préstamo a una oferta no desembolsada.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Las cifras incluidas en definiciones son referencias preliminares, no políticas ocultas.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Toda modificación deberá revisar su impacto en RF, RNF y RN.</w:t>
      </w:r>
    </w:p>
    <w:p>
      <w:pPr>
        <w:pStyle w:val="Ttulo2"/>
        <w:keepNext/>
      </w:pPr>
      <w:r>
        <w:t>3. Glosario controlado</w:t>
      </w:r>
    </w:p>
    <w:tbl>
      <w:tblPr>
        <w:tblStyle w:val="TableNormal"/>
        <w:tblW w:type="dxa" w:w="902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0"/>
        <w:gridCol w:w="5050"/>
        <w:gridCol w:w="1350"/>
        <w:gridCol w:w="1728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2"/>
              </w:rPr>
              <w:t>ID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Término y definición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2"/>
              </w:rPr>
              <w:t>Categoría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Uso / validación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GLO-001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Capital o principal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Importe de dinero efectivamente prestado y pendiente de devolución.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Financiero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confundir con total a pagar.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GLO-002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Saldo de capital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Parte del principal que permanece impaga después de aplicar pagos.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Financiero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Base para intereses definidos.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GLO-003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Cuota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Pago programado que puede contener capital e interés.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Financiero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Mostrar importe y vencimiento.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GLO-004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Cronograma de pagos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Detalle de cuotas, componentes, fechas y saldos de un préstamo.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Financiero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Debe cuadrar con el contrato.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GLO-005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Interés compensatorio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Retribución por el uso del capital durante el plazo acordado.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Legal/financiero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Validación legal.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GLO-006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Interés moratorio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Interés aplicable por retraso bajo límites y condiciones permitidos.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Legal/financiero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equivale a penalidad fija.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GLO-007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TEM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Tasa efectiva mensual. TEM=(1+TEA)^(1/12)-1.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Financiero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Usar precisión completa.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GLO-008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TEA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Tasa efectiva anual que expresa el rendimiento o costo del interés en un año.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Financiero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sustituye la TCEA.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GLO-009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TCEA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Tasa de costo efectivo anual calculada con todos los flujos obligatorios del cliente.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Financiero/consumidor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Requiere flujos finales.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GLO-010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Costo total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Suma de todos los pagos obligatorios menos el importe neto recibido.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Financiero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Mostrar en soles.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GLO-011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Costo por S/100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Costo total dividido entre monto neto y multiplicado por cien.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Financiero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Facilita comparación.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GLO-012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Monto neto recibido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Dinero que llega efectivamente al cliente después de cargos obligatorios.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Financiero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Propuesta base: igual al principal.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GLO-013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Comisión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Cobro por un servicio adicional permitido y efectivamente prestado.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Legal/financiero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Producto base propone cero.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GLO-014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Gasto de tercero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Importe cobrado por un proveedor externo cuando sea obligatorio y transparente.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Financiero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Debe integrar costo.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GLO-015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Desembolso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Transferencia del monto aprobado al medio validado del titular.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Operativo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Activa préstamo al confirmarse.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GLO-016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Fecha de vencimiento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Fecha límite contractual para pagar una cuota.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Operativo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confundir con gracia.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GLO-017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Días de gracia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Periodo posterior al vencimiento durante el cual no se aplica el cargo definido.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Financiero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Propuesta: 3 días.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GLO-018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Pago puntual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Pago recibido dentro del criterio de puntualidad aprobado.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Riesgo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Criterio final pendiente.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GLO-019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Mora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Situación de incumplimiento por pago vencido.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Legal/operativo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Medir días de atraso.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GLO-020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Días de atraso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Días calendario transcurridos desde el vencimiento sin pago suficiente.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Riesgo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Regla de corte definida.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GLO-021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Pago anticipado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Pago parcial o total antes del vencimiento, sin penalidad.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Financiero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Recalcula interés aplicable.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GLO-022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Refinanciamiento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Nuevo financiamiento que sustituye o reorganiza una deuda.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Financiero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Fuera del MVP.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GLO-023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Reprogramación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Cambio documentado de fechas o condiciones sin ocultar el contrato original.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Financiero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Requiere aprobación.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GLO-024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Regularización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Acciones para poner al día una obligación vencida.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Cobranza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Puede incluir acuerdo autorizado.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GLO-025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Pérdida esperada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Estimación de pérdida considerando probabilidad, exposición y recuperación.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Riesgo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Metodología por especialista.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GLO-026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Pérdida neta de principal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Capital no recuperado después de recuperaciones atribuibles.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Riesgo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Meta preliminar &lt;=3.5%.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GLO-027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Cartera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Conjunto de préstamos vigentes o administrados.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Negocio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Definir fecha de corte.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GLO-028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Exposición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Monto en riesgo frente a cliente, cohorte o cartera.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Riesgo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Incluye saldo según política.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GLO-029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Cohorte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Grupo de préstamos originados en un periodo o bajo reglas comparables.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Analítica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Unidad del piloto.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GLO-030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Capacidad de pago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Posibilidad razonable de cumplir cuotas considerando ingresos y obligaciones.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Riesgo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es solo ingreso declarado.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GLO-031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Score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Puntaje que resume señales de riesgo bajo una metodología documentada.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Riesgo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decide solo en el MVP.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GLO-032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Evaluación crediticia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Análisis de identidad, capacidad, comportamiento, fraude y cumplimiento.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Riesgo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Decisión humana inicial.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GLO-033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KYC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Proceso de conocimiento del cliente: identificar, verificar, perfilar y monitorear según riesgo.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Cumplimiento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es solo foto de DNI.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GLO-034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PEP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Persona expuesta políticamente, sujeta a diligencia reforzada cuando corresponda.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Cumplimiento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Validación normativa.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GLO-035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Beneficiario final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Persona natural que finalmente posee, controla o se beneficia según la norma aplicable.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Cumplimiento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Revisar aplicabilidad.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GLO-036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LA/FT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Lavado de activos y financiamiento del terrorismo.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Cumplimiento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Materia UIF-Perú.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GLO-037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ROS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Reporte de operación sospechosa remitido confidencialmente a la UIF cuando corresponda.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Cumplimiento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informar al cliente.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GLO-038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Fraude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Acción deliberada para obtener beneficio mediante engaño o manipulación.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Riesgo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Distinguir de error.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GLO-039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Suplantación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Uso no autorizado de la identidad de otra persona.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Riesgo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Alerta crítica.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GLO-040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Cliente nuevo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Cliente sin créditos previos concluidos satisfactoriamente en la plataforma.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Producto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Nivel ingreso.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GLO-041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Cliente recurrente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Cliente que cumple la cantidad y comportamiento requeridos para reevaluación.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Producto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implica aprobación automática.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GLO-042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Cliente preferente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Cliente con historial suficiente para condiciones propuestas posteriores al piloto.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Producto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Sujeto a capacidad vigente.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GLO-043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Solicitud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Petición de evaluación de un micropréstamo.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Producto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constituye aprobación.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GLO-044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Oferta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Condiciones individuales aprobadas y vigentes presentadas al cliente.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Producto/legal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Caduca según parámetro.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GLO-045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Contrato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Acuerdo que formaliza el préstamo y sus condiciones.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Legal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Mecanismo validado por abogado.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GLO-046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Préstamo activo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Préstamo desembolsado con saldo u obligaciones vigentes.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Producto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Uno por cliente en MVP.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GLO-047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Conciliación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Comparación y confirmación entre registro interno y evidencia del canal financiero.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Operativo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Evita pagos falsos.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GLO-048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Reverso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Operación compensatoria que anula efectos de un registro incorrecto sin borrarlo.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Operativo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Requiere autorización.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GLO-049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Dato personal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Información sobre una persona natural identificada o identificable.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Privacidad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Ley 29733.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GLO-050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Dato sensible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Dato cuya afectación puede generar riesgo especial según la normativa.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Privacidad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Protección reforzada.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GLO-051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Titular de datos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Persona natural a quien corresponden los datos.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Privacidad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Puede ejercer derechos.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GLO-052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Encargado del tratamiento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Tercero que trata datos por cuenta del responsable.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Privacidad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Exige contrato.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GLO-053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Consentimiento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Manifestación válida para tratamientos que lo requieran.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Privacidad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Debe ser demostrable.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GLO-054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Trazabilidad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Capacidad de reconstruir origen, decisión, cambio y resultado.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Gobierno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Aplica a requisitos y operaciones.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GLO-055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Auditoría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Examen de evidencia para verificar controles, decisiones y cumplimiento.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Gobierno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Acceso restringido.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GLO-056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Incidente de seguridad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Evento que compromete o amenaza confidencialidad, integridad o disponibilidad.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Seguridad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Evaluar notificación.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GLO-057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MVP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Versión mínima para validar el flujo y el modelo en ambiente controlado.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Producto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es producción abierta.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GLO-058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Piloto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Operación limitada con usuarios, capital, reglas y métricas controlados.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Producto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Requiere cierres críticos.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GLO-059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Back office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Aplicación interna para operar, controlar y supervisar el negocio.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Producto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Acceso por roles.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GLO-060</w:t>
            </w:r>
          </w:p>
        </w:tc>
        <w:tc>
          <w:tcPr>
            <w:tcW w:type="dxa" w:w="5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Parámetro versionado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Valor configurable con versión, vigencia, aprobación y conservación histórica.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Gobierno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retroactivo.</w:t>
            </w:r>
          </w:p>
        </w:tc>
      </w:tr>
    </w:tbl>
    <w:p/>
    <w:p>
      <w:pPr>
        <w:pStyle w:val="Ttulo2"/>
        <w:keepNext/>
      </w:pPr>
      <w:r>
        <w:t>4. Abreviaturas</w:t>
      </w:r>
    </w:p>
    <w:tbl>
      <w:tblPr>
        <w:tblStyle w:val="TableNormal"/>
        <w:tblW w:type="dxa" w:w="902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00"/>
        <w:gridCol w:w="7228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Abreviatura</w:t>
            </w:r>
          </w:p>
        </w:tc>
        <w:tc>
          <w:tcPr>
            <w:tcW w:type="dxa" w:w="72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Significado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ANPD</w:t>
            </w:r>
          </w:p>
        </w:tc>
        <w:tc>
          <w:tcPr>
            <w:tcW w:type="dxa" w:w="72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Autoridad Nacional de Protección de Datos Personales.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ASVS</w:t>
            </w:r>
          </w:p>
        </w:tc>
        <w:tc>
          <w:tcPr>
            <w:tcW w:type="dxa" w:w="72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Application Security Verification Standard.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BCRP</w:t>
            </w:r>
          </w:p>
        </w:tc>
        <w:tc>
          <w:tcPr>
            <w:tcW w:type="dxa" w:w="72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Banco Central de Reserva del Perú.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INDECOPI</w:t>
            </w:r>
          </w:p>
        </w:tc>
        <w:tc>
          <w:tcPr>
            <w:tcW w:type="dxa" w:w="72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Instituto Nacional de Defensa de la Competencia y de la Protección de la Propiedad Intelectual.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MFA</w:t>
            </w:r>
          </w:p>
        </w:tc>
        <w:tc>
          <w:tcPr>
            <w:tcW w:type="dxa" w:w="72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Autenticación multifactor.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RPO</w:t>
            </w:r>
          </w:p>
        </w:tc>
        <w:tc>
          <w:tcPr>
            <w:tcW w:type="dxa" w:w="72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Punto máximo de pérdida de datos tolerable.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RTO</w:t>
            </w:r>
          </w:p>
        </w:tc>
        <w:tc>
          <w:tcPr>
            <w:tcW w:type="dxa" w:w="72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Tiempo objetivo para recuperar un servicio.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SBS</w:t>
            </w:r>
          </w:p>
        </w:tc>
        <w:tc>
          <w:tcPr>
            <w:tcW w:type="dxa" w:w="72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Superintendencia de Banca, Seguros y AFP.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SPLAFT</w:t>
            </w:r>
          </w:p>
        </w:tc>
        <w:tc>
          <w:tcPr>
            <w:tcW w:type="dxa" w:w="72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Sistema de prevención del lavado de activos y del financiamiento del terrorismo.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UIF-Perú</w:t>
            </w:r>
          </w:p>
        </w:tc>
        <w:tc>
          <w:tcPr>
            <w:tcW w:type="dxa" w:w="72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Unidad de Inteligencia Financiera del Perú.</w:t>
            </w:r>
          </w:p>
        </w:tc>
      </w:tr>
    </w:tbl>
    <w:p/>
    <w:p>
      <w:pPr>
        <w:pStyle w:val="Ttulo2"/>
        <w:keepNext/>
      </w:pPr>
      <w:r>
        <w:t>5. Gobierno del glosario</w:t>
      </w:r>
    </w:p>
    <w:p>
      <w:pPr>
        <w:spacing w:line="276" w:lineRule="auto"/>
      </w:pPr>
      <w:r>
        <w:rPr>
          <w:rFonts w:ascii="Arial" w:hAnsi="Arial" w:eastAsia="Arial"/>
          <w:b w:val="0"/>
          <w:sz w:val="22"/>
        </w:rPr>
        <w:t>El analista funcional mantendrá el glosario. Finanzas validará términos de cálculo y riesgo; abogado y cumplimiento, términos regulatorios; contador, términos contables; tecnología, términos operativos y de seguridad. Los cambios aprobados deberán conservar versión y fecha.</w:t>
      </w:r>
    </w:p>
    <w:sectPr w:rsidR="009A1D14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5FCC1C-0D68-4C0F-8C73-D23B897F41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5B2CEE2-BA91-4DCD-A6E2-7509C5C55957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B66"/>
    <w:multiLevelType w:val="multilevel"/>
    <w:tmpl w:val="0058A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311270"/>
    <w:multiLevelType w:val="multilevel"/>
    <w:tmpl w:val="31027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0B731E"/>
    <w:multiLevelType w:val="multilevel"/>
    <w:tmpl w:val="388811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903923"/>
    <w:multiLevelType w:val="multilevel"/>
    <w:tmpl w:val="54A81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AF1648"/>
    <w:multiLevelType w:val="multilevel"/>
    <w:tmpl w:val="F126B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A974E4"/>
    <w:multiLevelType w:val="multilevel"/>
    <w:tmpl w:val="63AC5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F805BB"/>
    <w:multiLevelType w:val="singleLevel"/>
    <w:tmpl w:val="E76C971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7" w15:restartNumberingAfterBreak="0">
    <w:nsid w:val="1AA32011"/>
    <w:multiLevelType w:val="multilevel"/>
    <w:tmpl w:val="E4645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086654"/>
    <w:multiLevelType w:val="singleLevel"/>
    <w:tmpl w:val="FC0E58B2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9" w15:restartNumberingAfterBreak="0">
    <w:nsid w:val="1F1815DD"/>
    <w:multiLevelType w:val="multilevel"/>
    <w:tmpl w:val="04B4C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D4552F"/>
    <w:multiLevelType w:val="multilevel"/>
    <w:tmpl w:val="51EC3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2926BB"/>
    <w:multiLevelType w:val="multilevel"/>
    <w:tmpl w:val="0A92C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49B4A84"/>
    <w:multiLevelType w:val="multilevel"/>
    <w:tmpl w:val="F0E41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C5B2B51"/>
    <w:multiLevelType w:val="multilevel"/>
    <w:tmpl w:val="E6C82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010435"/>
    <w:multiLevelType w:val="multilevel"/>
    <w:tmpl w:val="3494A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2F0261"/>
    <w:multiLevelType w:val="multilevel"/>
    <w:tmpl w:val="E9562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714E88"/>
    <w:multiLevelType w:val="multilevel"/>
    <w:tmpl w:val="08B67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19A6E6B"/>
    <w:multiLevelType w:val="multilevel"/>
    <w:tmpl w:val="8682B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64C1D4A"/>
    <w:multiLevelType w:val="multilevel"/>
    <w:tmpl w:val="B6100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CCE4CAF"/>
    <w:multiLevelType w:val="multilevel"/>
    <w:tmpl w:val="34449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9CC2AC4"/>
    <w:multiLevelType w:val="multilevel"/>
    <w:tmpl w:val="CDE44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163537F"/>
    <w:multiLevelType w:val="multilevel"/>
    <w:tmpl w:val="05562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2D854BF"/>
    <w:multiLevelType w:val="multilevel"/>
    <w:tmpl w:val="B11AC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6D67637"/>
    <w:multiLevelType w:val="multilevel"/>
    <w:tmpl w:val="D3CA6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A9580B"/>
    <w:multiLevelType w:val="multilevel"/>
    <w:tmpl w:val="CE60EB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A47303"/>
    <w:multiLevelType w:val="multilevel"/>
    <w:tmpl w:val="1C5C3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59F31F8"/>
    <w:multiLevelType w:val="multilevel"/>
    <w:tmpl w:val="7E4C8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7460CAD"/>
    <w:multiLevelType w:val="multilevel"/>
    <w:tmpl w:val="02085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A350D1E"/>
    <w:multiLevelType w:val="multilevel"/>
    <w:tmpl w:val="DFE02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B454AED"/>
    <w:multiLevelType w:val="multilevel"/>
    <w:tmpl w:val="710C7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CF2311B"/>
    <w:multiLevelType w:val="multilevel"/>
    <w:tmpl w:val="EE246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E455F85"/>
    <w:multiLevelType w:val="multilevel"/>
    <w:tmpl w:val="613EE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3058552">
    <w:abstractNumId w:val="6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D14"/>
    <w:rsid w:val="0034533C"/>
    <w:rsid w:val="009A1D14"/>
    <w:rsid w:val="00A5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D63A8"/>
  <w15:docId w15:val="{7B191AF5-EFAC-4485-93D4-8AF1FCC04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1837</Words>
  <Characters>10108</Characters>
  <Application>Microsoft Office Word</Application>
  <DocSecurity>0</DocSecurity>
  <Lines>84</Lines>
  <Paragraphs>23</Paragraphs>
  <ScaleCrop>false</ScaleCrop>
  <Company/>
  <LinksUpToDate>false</LinksUpToDate>
  <CharactersWithSpaces>11922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MODEL CANVAS</dc:title>
  <dc:subject>Fase 2 - Investigación del negocio</dc:subject>
  <dc:creator>San Martin Finanzas</dc:creator>
  <dc:description>Documento preliminar sujeto a revisión y aprobación.</dc:description>
  <cp:lastModifiedBy>Leonardo Delgado</cp:lastModifiedBy>
  <cp:revision>2</cp:revision>
  <dcterms:created xsi:type="dcterms:W3CDTF">2026-08-15T19:37:00Z</dcterms:created>
  <dcterms:modified xsi:type="dcterms:W3CDTF">2026-08-15T19:39:00Z</dcterms:modified>
</cp:coreProperties>
</file>