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CRITERIOS DE ACEPTACIÓN</w:t>
      </w:r>
    </w:p>
    <w:p>
      <w:pPr>
        <w:pStyle w:val="Heading2"/>
      </w:pPr>
      <w:r>
        <w:t>Plataforma Digital de Micropréstamos para la Región San Martín</w:t>
      </w:r>
    </w:p>
    <w:p>
      <w:r>
        <w:rPr>
          <w:rFonts w:ascii="Arial" w:hAnsi="Arial"/>
          <w:b/>
          <w:color w:val="000000"/>
          <w:sz w:val="22"/>
        </w:rPr>
        <w:t xml:space="preserve">Nombre provisional del proyecto: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Nombre comercial de la plataforma: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Versión del documento: </w:t>
      </w:r>
      <w:r>
        <w:rPr>
          <w:rFonts w:ascii="Arial" w:hAnsi="Arial"/>
          <w:color w:val="000000"/>
          <w:sz w:val="22"/>
        </w:rPr>
        <w:t>1.0</w:t>
        <w:br/>
      </w:r>
      <w:r>
        <w:rPr>
          <w:rFonts w:ascii="Arial" w:hAnsi="Arial"/>
          <w:b/>
          <w:color w:val="000000"/>
          <w:sz w:val="22"/>
        </w:rPr>
        <w:t xml:space="preserve">Fecha de elaboración: </w:t>
      </w:r>
      <w:r>
        <w:rPr>
          <w:rFonts w:ascii="Arial" w:hAnsi="Arial"/>
          <w:color w:val="000000"/>
          <w:sz w:val="22"/>
        </w:rPr>
        <w:t>15/08/2026</w:t>
        <w:br/>
      </w:r>
      <w:r>
        <w:rPr>
          <w:rFonts w:ascii="Arial" w:hAnsi="Arial"/>
          <w:b/>
          <w:color w:val="000000"/>
          <w:sz w:val="22"/>
        </w:rPr>
        <w:t xml:space="preserve">Promotor e inversionista: </w:t>
      </w:r>
      <w:r>
        <w:rPr>
          <w:rFonts w:ascii="Arial" w:hAnsi="Arial"/>
          <w:color w:val="000000"/>
          <w:sz w:val="22"/>
        </w:rPr>
        <w:t>Ing. Ronal Ríos Romero</w:t>
        <w:br/>
      </w:r>
      <w:r>
        <w:rPr>
          <w:rFonts w:ascii="Arial" w:hAnsi="Arial"/>
          <w:b/>
          <w:color w:val="000000"/>
          <w:sz w:val="22"/>
        </w:rPr>
        <w:t xml:space="preserve">Product Owner y Scrum Master: </w:t>
      </w:r>
      <w:r>
        <w:rPr>
          <w:rFonts w:ascii="Arial" w:hAnsi="Arial"/>
          <w:color w:val="000000"/>
          <w:sz w:val="22"/>
        </w:rPr>
        <w:t>Carlos Humberto Gonzales</w:t>
        <w:br/>
      </w:r>
      <w:r>
        <w:rPr>
          <w:rFonts w:ascii="Arial" w:hAnsi="Arial"/>
          <w:b/>
          <w:color w:val="000000"/>
          <w:sz w:val="22"/>
        </w:rPr>
        <w:t xml:space="preserve">Developer y responsable técnico: </w:t>
      </w:r>
      <w:r>
        <w:rPr>
          <w:rFonts w:ascii="Arial" w:hAnsi="Arial"/>
          <w:color w:val="000000"/>
          <w:sz w:val="22"/>
        </w:rPr>
        <w:t>Leonardo Jesús Gonzales</w:t>
      </w:r>
    </w:p>
    <w:p>
      <w:pPr>
        <w:pStyle w:val="Heading2"/>
      </w:pPr>
      <w:r>
        <w:t>1. Propósito y alcance</w:t>
      </w:r>
    </w:p>
    <w:p>
      <w:r>
        <w:rPr>
          <w:rFonts w:ascii="Arial" w:hAnsi="Arial"/>
          <w:color w:val="000000"/>
          <w:sz w:val="22"/>
        </w:rPr>
        <w:t>Este documento define condiciones objetivas para aceptar cada historia. Cumplir criterios de historia no basta para declarar Done: el incremento debe satisfacer también la Definition of Done común y quedar integrado con los incrementos anteriores.</w:t>
      </w:r>
    </w:p>
    <w:p>
      <w:pPr>
        <w:pStyle w:val="Heading2"/>
      </w:pPr>
      <w:r>
        <w:t>2. Convención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Identificador: CA-HU-###-##. Los escenarios se redactan como Dado / Cuando / Entonces.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primer escenario cubre el resultado principal; el segundo cubre control, excepción, permiso, privacidad o integridad.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 evidencia propuesta deberá confirmarse en Sprint Planning o refinamiento sin rebajar controles obligatorios.</w:t>
      </w:r>
    </w:p>
    <w:p>
      <w:pPr>
        <w:pStyle w:val="Heading2"/>
      </w:pPr>
      <w:r>
        <w:t>3. Catálogo de criterios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000"/>
        <w:gridCol w:w="1050"/>
        <w:gridCol w:w="4030"/>
        <w:gridCol w:w="1050"/>
        <w:gridCol w:w="1890"/>
      </w:tblGrid>
      <w:tr>
        <w:trPr>
          <w:tblHeader w:val="true"/>
        </w:trPr>
        <w:tc>
          <w:tcPr>
            <w:tcW w:type="dxa" w:w="10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0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Escenario</w:t>
            </w:r>
          </w:p>
        </w:tc>
        <w:tc>
          <w:tcPr>
            <w:tcW w:type="dxa" w:w="403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Dado / Cuando / Entonces</w:t>
            </w:r>
          </w:p>
        </w:tc>
        <w:tc>
          <w:tcPr>
            <w:tcW w:type="dxa" w:w="10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189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Evidencia mínima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CA-HU-001-01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visitante cumple las precondiciones y dispone de permisos, cuando intenta registrar una cuenta con datos únicos y avisos obligatorios, entonces Cuenta válida queda pendiente de verificación.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PBI-001 y CU-001.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CA-HU-001-02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Datos duplicados, edad inválida o falta de aceptación bloquean el registro sin crear cuenta activa.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RF-001; RN-001,002.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CA-HU-002-01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verificar mi celular y correo con códigos temporales, entonces Cada medio correcto queda marcado como verificado con fecha y evidencia.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PBI-002 y CU-001.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CA-HU-002-02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Código vencido o exceso de intentos se rechaza y queda registrado.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RF-002; RN-003.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CA-HU-003-01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iniciar sesión, cerrarla y recuperar el acceso de forma segura, entonces Credenciales válidas abren una sesión con permisos y expiración definidos.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PBI-003 y CU-002.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CA-HU-003-02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La recuperación no revela si la cuenta existe y revoca sesiones anteriores.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RF-003; RNF-002 a 004.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CA-HU-004-01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administrador cumple las precondiciones y dispone de permisos, cuando intenta gestionar usuarios internos y roles autorizados, entonces Alta, cambio o revocación autorizada se refleja en el siguiente acceso.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PBI-004,007 y CU-015.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CA-HU-004-02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El usuario no puede autoasignarse privilegios ni combinar funciones incompatibles sin control.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RF-039; RN-031; RNF-005.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CA-HU-005-01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auditor autorizado cumple las precondiciones y dispone de permisos, cuando intenta consultar eventos críticos sin alterarlos, entonces La consulta filtra por actor, fecha, entidad y resultado y muestra datos íntegros.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PBI-005 y CU-015.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CA-HU-005-02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Ningún usuario operativo puede editar o eliminar eventos; la corrección es compensatoria.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RF-042; RNF-010,011.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CA-HU-006-01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revisar y aceptar o rechazar consentimientos separados, entonces Se conserva finalidad, versión, decisión, fecha y evidencia de cada consentimiento.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PBI-006 y CU-003.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CA-HU-006-02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Rechazar marketing no impide solicitar crédito; faltar un aviso obligatorio sí impide continuar.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RF-005; RN-005; RNF-008.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CA-HU-007-01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completar y actualizar mi perfil personal y económico, entonces Los datos válidos se guardan y cambios relevantes conservan historial.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PBI-012,015 y CU-003.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CA-HU-007-02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Campos obligatorios inválidos o perfil vencido impiden enviar una solicitud.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RF-004; RN-004.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CA-HU-008-01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registrar mi domicilio y vínculo con San Martín, entonces Departamento, provincia, distrito, dirección y soporte quedan asociados al expediente.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PBI-013 y CU-004.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CA-HU-008-02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Ubicación fuera del ámbito queda no elegible u observada para revisión autorizada.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RF-009,010; RN-007.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CA-HU-009-01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adjuntar evidencia para verificar mi identidad, entonces Documentos permitidos y legibles quedan disponibles para revisión.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PBI-014,022 y CU-004.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CA-HU-009-02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Falla de validación o documento no legible deriva a observación, nunca a aprobación automática.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RF-007,008,011; RN-006.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CA-HU-010-01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declarar ocupación, ingresos y obligaciones, entonces La información completa y consistente queda vinculada al perfil vigente.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PBI-015 y CU-003.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CA-HU-010-02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Inconsistencias relevantes se señalan para subsanación o revisión manual.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RF-004,018; RN-015.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CA-HU-011-01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simular combinaciones vigentes de monto y plazo, entonces La simulación muestra monto neto, cuota, fechas, TEA, TCEA estimada, total y costo por S/100.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PBI-016,023 y CU-005.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CA-HU-011-02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Combinaciones fuera de parámetros se bloquean y el mismo caso produce el mismo resultado al céntimo.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RF-012; RN-010 a 014,036 a 038.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CA-HU-012-01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ver una advertencia clara sobre la simulación, entonces La advertencia aparece antes de iniciar la solicitud y no queda oculta.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PBI-017 y CU-005.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CA-HU-012-02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No se comunica aprobación, disponibilidad ni condiciones garantizadas desde la simulación.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RF-013; RN-014.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CA-HU-013-01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crear y enviar una solicitud desde una simulación, entonces Una solicitud completa y confirmada recibe código, fecha y estado inicial.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PBI-018 y CU-006.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CA-HU-013-02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Falta de datos o confirmación impide envío y conserva correcciones posibles.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RF-014; RN-008.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CA-HU-014-01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ser advertido si ya tengo una solicitud o préstamo activo, entonces El sistema bloquea una nueva solicitud cuando existe otra activa.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PBI-019 y CU-006.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CA-HU-014-02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Solo un cierre autorizado permite volver a solicitar; no se duplica por reintento.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RF-015; RN-008,009.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CA-HU-015-01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consultar el estado y las acciones pendientes de mi solicitud, entonces Se muestra estado, fecha de actualización y acción pendiente en lenguaje claro.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PBI-020 y CU-006.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CA-HU-015-02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La vista no expone controles antifraude ni datos internos de riesgo.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RF-016.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CA-HU-016-01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recuperar el avance de formularios extensos, entonces Un corte controlado permite recuperar el último borrador confirmado.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PBI-021 y CU-006.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CA-HU-016-02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Nunca se presenta como enviada una solicitud que solo quedó en borrador.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RNF-023.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CA-HU-017-01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cargar, reemplazar o retirar documentos antes de enviar, entonces Archivos válidos se asocian a su tipo y la versión vigente queda visible.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PBI-022 y CU-004.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CA-HU-017-02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Tipo, tamaño o legibilidad no permitidos se rechazan con motivo comprensible.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RF-011.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CA-HU-018-01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administrador autorizado cumple las precondiciones y dispone de permisos, cuando intenta configurar montos, tasas, plazos, gracia y mora con vigencia, entonces Un parámetro aprobado entra en vigor en la fecha futura indicada y conserva versión.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PBI-024 y CU-015.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CA-HU-018-02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No se permite vigencia retroactiva ni modificación silenciosa de préstamos existentes.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RF-040; RN-032; RNF-027.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CA-HU-019-01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recibir comunicaciones transaccionales sobre mi trámite, entonces La comunicación usa plantilla versionada, canal y resultado registrados.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PBI-025,035 y CU-006.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CA-HU-019-02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No incluye datos sensibles innecesarios y el fallo de entrega queda visible para atención.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RF-037; RN-029.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CA-HU-020-01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analista cumple las precondiciones y dispone de permisos, cuando intenta consultar una bandeja filtrable de solicitudes, entonces La bandeja muestra los campos y alertas necesarios con filtros verificables.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PBI-026 y CU-007.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CA-HU-020-02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Un analista sin permiso no accede a casos o datos restringidos.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RF-017.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CA-HU-021-01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analista cumple las precondiciones y dispone de permisos, cuando intenta evaluar identidad, región, capacidad y alertas, entonces Cada dimensión registra resultado, evidencia, motivo y responsable.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PBI-027 y CU-007.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CA-HU-021-02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Datos incompletos, alertas o fallas externas derivan a observación o revisión, no a aprobación automática.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RF-008,010,018; RN-006,007,015.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CA-HU-022-01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analista cumple las precondiciones y dispone de permisos, cuando intenta solicitar subsanación con motivo y plazo, entonces La observación identifica faltante, plazo y canal y cambia el estado de forma trazable.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PBI-028 y CU-007.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CA-HU-022-02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No se solicitan datos ajenos a la finalidad ni se pierde la evidencia anterior.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RF-019.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CA-HU-023-01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personal autorizado cumple las precondiciones y dispone de permisos, cuando intenta aprobar, observar o rechazar una solicitud con motivo, entonces La decisión conserva valores evaluados, motivo, usuario y fecha y no puede editarse.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PBI-029 y CU-008.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CA-HU-023-02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Una solicitud incompleta o fuera de política no se aprueba; una corrección genera un nuevo evento.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RF-020; RN-016.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CA-HU-024-01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supervisor cumple las precondiciones y dispone de permisos, cuando intenta autorizar o denegar excepciones y operaciones sobre límites, entonces La excepción no produce efecto hasta una segunda decisión independiente registrada.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PBI-030 y CU-008.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CA-HU-024-02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No puede superar límites legales ni ser aprobada dos veces por la misma persona.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RF-021; RN-017; RNF-005.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CA-HU-025-01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analista cumple las precondiciones y dispone de permisos, cuando intenta generar una oferta dentro de parámetros autorizados, entonces La oferta muestra monto, plazo, tasa, vigencia y versión de reglas aprobadas.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PBI-031 y CU-008.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CA-HU-025-02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Valores fuera de rango o una oferta vencida no pueden contratarse.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RF-022; RN-010 a 017.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CA-HU-026-01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revisar y conservar hoja resumen, cronograma y contrato, entonces Los documentos son accesibles y coinciden con la oferta vigente.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PBI-032 y CU-009.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CA-HU-026-02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Si faltan documentos o difieren los importes, la aceptación queda bloqueada.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RF-023; RN-014,018.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CA-HU-027-01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aceptar expresamente una oferta y contrato vigentes, entonces Se registra identidad, versión, fecha, hora y evidencia de los documentos aceptados.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PBI-033,036 y CU-009.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CA-HU-027-02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Reintentos no crean contratos duplicados y una oferta vencida no se acepta.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RF-024; RN-018; RNF-015.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CA-HU-028-01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responsable de cumplimiento cumple las precondiciones y dispone de permisos, cuando intenta registrar validaciones KYC/PEP y resolver alertas, entonces El expediente restringido registra consulta, resultado, evidencia y resolución.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PBI-034 y CU-007.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CA-HU-028-02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Una alerta abierta impide avanzar según política y nunca se revela al cliente información sobre ROS.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RF-041; RN-033.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CA-HU-029-01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consultar la decisión de mi solicitud, entonces La cuenta muestra decisión, fecha y explicación permitida y se intenta notificar.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PBI-035 y CU-008.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CA-HU-029-02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La comunicación excluye reglas antifraude sensibles y no contradice la decisión registrada.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RF-016,037; RN-016.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CA-HU-030-01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operaciones cumple las precondiciones y dispone de permisos, cuando intenta registrar un desembolso manual a un medio validado, entonces Referencia única, importe, fecha, medio y estado quedan registrados.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PBI-037 y CU-010.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CA-HU-030-02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Un fallo o reintento no activa deuda ni genera un segundo desembolso.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RF-025,026; RN-019,020.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CA-HU-031-01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operaciones cumple las precondiciones y dispone de permisos, cuando intenta activar el préstamo al confirmar el desembolso, entonces La confirmación válida crea una sola activación y conserva la versión contractual.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PBI-038 y CU-010.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CA-HU-031-02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No se activa con desembolso pendiente, fallido o revertido.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RF-027; RN-020.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CA-HU-032-01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obtener un cronograma de pagos consistente, entonces Capital, interés, cuota y saldo cuadran al céntimo y la última cuota absorbe el residual.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PBI-039 y CU-011.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CA-HU-032-02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El mismo préstamo y versión siempre generan el mismo cronograma.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RF-028; RN-036,037; RNF-014.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CA-HU-033-01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consultar préstamo, cuotas, pagos, saldo y documentos, entonces La consulta refleja el último estado conciliado y documentos contractuales.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PBI-040 y CU-011.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CA-HU-033-02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No muestra puntajes, alertas antifraude ni información de otros clientes.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RF-029.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CA-HU-034-01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operaciones cumple las precondiciones y dispone de permisos, cuando intenta registrar y conciliar pagos con referencia única, entonces El pago conciliado se imputa según regla vigente y recalcula saldo y cuotas.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PBI-041 y CU-012.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CA-HU-034-02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Referencia duplicada o reintento no duplica el pago y queda en estado controlado.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RF-030,031; RN-021,022.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CA-HU-035-01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operaciones autorizadas cumple las precondiciones y dispone de permisos, cuando intenta revertir un pago con motivo y permiso reforzado, entonces El reverso reconstruye saldos y registra actor, motivo y referencia al pago original.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PBI-042 y CU-012.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CA-HU-035-02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Sin permiso reforzado o si rompe consistencia financiera, la operación se rechaza.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RF-032; RN-023.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CA-HU-036-01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solicitar una liquidación de cancelación anticipada, entonces La liquidación indica fecha de corte, importe y vigencia y emite constancia al pagar.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PBI-043 y CU-012.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CA-HU-036-02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No incluye penalidad ni intereses posteriores a la fecha aplicable.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RF-033; RN-024.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CA-HU-037-01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cliente cumple las precondiciones y dispone de permisos, cuando intenta ver cuotas vencidas y mora calculada transparentemente, entonces La mora se aplica después de la gracia, solo sobre capital vencido y sin capitalización.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PBI-044 y CU-013.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CA-HU-037-02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Durante la gracia no se cobra mora; ningún cargo fijo oculto se agrega.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RF-034; RN-025,026.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CA-HU-038-01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responsable de cobranzas cumple las precondiciones y dispone de permisos, cuando intenta priorizar casos y registrar gestiones y acuerdos autorizados, entonces Cada contacto, compromiso y resultado queda fechado y asociado al caso.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PBI-045 y CU-013.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CA-HU-038-02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No se revela deuda a terceros ni se modifica el contrato original sin acuerdo aprobado.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RF-035,036; RN-027,028.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CA-HU-039-01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responsable de atención cumple las precondiciones y dispone de permisos, cuando intenta registrar reclamos y derechos sobre datos con plazo y responsable, entonces El caso recibe constancia, categoría, responsable, plazo y estado.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PBI-046 y CU-014.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CA-HU-039-02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Ningún caso se cierra sin respuesta registrada ni se usa marketing como condición de atención.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RF-006,038; RN-005,030.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CA-HU-040-01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Resultado principal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que gerencia cumple las precondiciones y dispone de permisos, cuando intenta consultar indicadores y pausar nuevas originaciones ante gatillos, entonces Los reportes indican fecha de corte y una pausa autorizada impide nuevas originaciones.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Positivo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funcional; registro o salida vinculada a PBI-047 y CU-015.</w:t>
            </w:r>
          </w:p>
        </w:tc>
      </w:tr>
      <w:tr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CA-HU-040-02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 y excepción</w:t>
            </w:r>
          </w:p>
        </w:tc>
        <w:tc>
          <w:tcPr>
            <w:tcW w:type="dxa" w:w="4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Dado un dato inválido, duplicidad, falta de permiso o condición bloqueante aplicable, cuando se intenta la operación, entonces La pausa no bloquea pagos, reclamos ni consulta de documentos y queda auditada.</w:t>
            </w:r>
          </w:p>
        </w:tc>
        <w:tc>
          <w:tcPr>
            <w:tcW w:type="dxa" w:w="1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Negativo / control</w:t>
            </w:r>
          </w:p>
        </w:tc>
        <w:tc>
          <w:tcPr>
            <w:tcW w:type="dxa" w:w="18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evidencia de auditoría; RF-043,044; RN-034,035.</w:t>
            </w:r>
          </w:p>
        </w:tc>
      </w:tr>
    </w:tbl>
    <w:p>
      <w:pPr>
        <w:spacing w:after="40"/>
      </w:pPr>
    </w:p>
    <w:p>
      <w:pPr>
        <w:pStyle w:val="Heading2"/>
      </w:pPr>
      <w:r>
        <w:t>4. Definition of Done del incremento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elemento satisface sus criterios de aceptación aprobados y no mantiene defectos críticos o altos abiertos.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comportamiento funcional y sus excepciones fueron probados con evidencia reproducible.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Los cálculos financieros aplicables coinciden al céntimo con casos patrón independientes.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Se verificaron permisos, segregación, auditoría, privacidad e idempotencia aplicables.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incremento no contiene secretos ni datos personales reales de prueba no autorizados.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Los flujos principales funcionan desde 360 px y mediante teclado en el alcance implementado.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 revisión de seguridad del alcance implementado no deja controles críticos sin tratamiento.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Los requisitos y reglas relacionados conservan trazabilidad con el PBI, la historia, el caso y el sprint.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 documentación operativa y de usuario necesaria para demostrar el incremento está actualizada.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Product Owner revisó la evidencia; aceptar no equivale a autorizar operación comercial ni dinero real.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incremento se integra con los incrementos anteriores y permanece utilizable en el ambiente controlado.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Cualquier excepción, deuda o decisión pendiente queda visible en el Product Backlog y no se declara terminada.</w:t>
      </w:r>
    </w:p>
    <w:p>
      <w:pPr>
        <w:pStyle w:val="Heading2"/>
      </w:pPr>
      <w:r>
        <w:t>5. Reglas de aceptación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Solo el Product Owner acepta valor; el Developer aporta evidencia de calidad y cumplimiento de Done.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Una historia parcialmente implementada vuelve al Product Backlog y no se contabiliza como Done.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Un criterio modificado conserva versión y no cambia silenciosamente trabajo ya contratado o evidencia previa.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Las cifras financieras permanecen como propuesta preliminar hasta las validaciones señaladas en los documentos 5, 6 y 10.</w:t>
      </w:r>
    </w:p>
    <w:p>
      <w:pPr>
        <w:pStyle w:val="Heading2"/>
      </w:pPr>
      <w:r>
        <w:t>Fuentes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Guía Maestra de Documentación de San Martín Finanzas, documentos 1 al 11 y Plan de Desarrollo y Entregas del MVP.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Schwaber, K. y Sutherland, J. The Scrum Guide, versión oficial vigente de noviembre de 2020: https://scrumguides.org/download.html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Scrum.org. Product Backlog y Product Backlog Items: https://www.scrum.org/resources/what-is-a-product-backlog y https://www.scrum.org/resources/product-backlog-items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14. CRITERIOS DE ACEPTACION</dc:title>
  <dc:subject>Fase 4 - Marco de trabajo Scrum</dc:subject>
  <dc:creator>San Martin Finanzas</dc:creator>
  <cp:keywords>Scrum, MVP, microprestamos, San Martin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