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PLANIFICACIÓN DE SPRINTS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Este documento convierte el plan de cuatro entregas en una planificación Scrum orientada a objetivos e incrementos. Las selecciones son previsiones: el Sprint Backlog definitivo será creado por el Developer durante cada Sprint Planning y evolucionará conforme se aprende.</w:t>
      </w:r>
    </w:p>
    <w:p>
      <w:pPr>
        <w:pStyle w:val="Heading2"/>
      </w:pPr>
      <w:r>
        <w:t>2. Marco de trabajo y roles</w:t>
      </w:r>
    </w:p>
    <w:p>
      <w:r>
        <w:rPr>
          <w:rFonts w:ascii="Arial" w:hAnsi="Arial"/>
          <w:color w:val="000000"/>
          <w:sz w:val="22"/>
        </w:rPr>
        <w:t>Scrum se aplica como marco de trabajo. Carlos Humberto Gonzales asume temporalmente Product Owner y Scrum Master; Leonardo Jesús Gonzales actúa como Developer y responsable técnico; el Ing. Ronal Ríos Romero participa como patrocinador e inversionista. La doble responsabilidad se hará visible y se mitigará mediante backlog público, evidencia objetiva y escalamiento de conflictos.</w:t>
      </w:r>
    </w:p>
    <w:p>
      <w:pPr>
        <w:pStyle w:val="Heading2"/>
      </w:pPr>
      <w:r>
        <w:t>3. Calendario de entregas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100"/>
        <w:gridCol w:w="1450"/>
        <w:gridCol w:w="4300"/>
        <w:gridCol w:w="2170"/>
      </w:tblGrid>
      <w:tr>
        <w:trPr>
          <w:tblHeader w:val="true"/>
        </w:trPr>
        <w:tc>
          <w:tcPr>
            <w:tcW w:type="dxa" w:w="1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Sprint</w:t>
            </w:r>
          </w:p>
        </w:tc>
        <w:tc>
          <w:tcPr>
            <w:tcW w:type="dxa" w:w="14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Fecha de entrega</w:t>
            </w:r>
          </w:p>
        </w:tc>
        <w:tc>
          <w:tcPr>
            <w:tcW w:type="dxa" w:w="43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Tema integrado</w:t>
            </w:r>
          </w:p>
        </w:tc>
        <w:tc>
          <w:tcPr>
            <w:tcW w:type="dxa" w:w="217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Estado documental</w:t>
            </w:r>
          </w:p>
        </w:tc>
      </w:tr>
      <w:tr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1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15/08/2026</w:t>
            </w:r>
          </w:p>
        </w:tc>
        <w:tc>
          <w:tcPr>
            <w:tcW w:type="dxa" w:w="4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Base, registro, acceso, roles, seguridad y auditoría</w:t>
            </w:r>
          </w:p>
        </w:tc>
        <w:tc>
          <w:tcPr>
            <w:tcW w:type="dxa" w:w="21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Planificado; no implica Done</w:t>
            </w:r>
          </w:p>
        </w:tc>
      </w:tr>
      <w:tr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2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29/08/2026</w:t>
            </w:r>
          </w:p>
        </w:tc>
        <w:tc>
          <w:tcPr>
            <w:tcW w:type="dxa" w:w="4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Perfil, identidad, simulación y solicitud</w:t>
            </w:r>
          </w:p>
        </w:tc>
        <w:tc>
          <w:tcPr>
            <w:tcW w:type="dxa" w:w="21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Planificado</w:t>
            </w:r>
          </w:p>
        </w:tc>
      </w:tr>
      <w:tr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3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12/09/2026</w:t>
            </w:r>
          </w:p>
        </w:tc>
        <w:tc>
          <w:tcPr>
            <w:tcW w:type="dxa" w:w="4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Evaluación, decisión, oferta y contrato</w:t>
            </w:r>
          </w:p>
        </w:tc>
        <w:tc>
          <w:tcPr>
            <w:tcW w:type="dxa" w:w="21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Planificado</w:t>
            </w:r>
          </w:p>
        </w:tc>
      </w:tr>
      <w:tr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4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26/09/2026</w:t>
            </w:r>
          </w:p>
        </w:tc>
        <w:tc>
          <w:tcPr>
            <w:tcW w:type="dxa" w:w="4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Desembolso, préstamo, pagos, mora, reportes y demostración</w:t>
            </w:r>
          </w:p>
        </w:tc>
        <w:tc>
          <w:tcPr>
            <w:tcW w:type="dxa" w:w="21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Planificado</w:t>
            </w:r>
          </w:p>
        </w:tc>
      </w:tr>
      <w:tr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Contingencia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26/09/2026 a 16/10/2026</w:t>
            </w:r>
          </w:p>
        </w:tc>
        <w:tc>
          <w:tcPr>
            <w:tcW w:type="dxa" w:w="4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Corrección de incidencias indispensables del alcance aprobado</w:t>
            </w:r>
          </w:p>
        </w:tc>
        <w:tc>
          <w:tcPr>
            <w:tcW w:type="dxa" w:w="21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No es un quinto sprint</w:t>
            </w:r>
          </w:p>
        </w:tc>
      </w:tr>
    </w:tbl>
    <w:p>
      <w:pPr>
        <w:spacing w:after="40"/>
      </w:pPr>
    </w:p>
    <w:p>
      <w:pPr>
        <w:pStyle w:val="Heading2"/>
      </w:pPr>
      <w:r>
        <w:t>4. Cadencia y eventos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2500"/>
        <w:gridCol w:w="46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Evento</w:t>
            </w:r>
          </w:p>
        </w:tc>
        <w:tc>
          <w:tcPr>
            <w:tcW w:type="dxa" w:w="2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Cadencia / límite</w:t>
            </w:r>
          </w:p>
        </w:tc>
        <w:tc>
          <w:tcPr>
            <w:tcW w:type="dxa" w:w="46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Resultado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Planning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Al inicio de cada sprint; duración proporcional</w:t>
            </w:r>
          </w:p>
        </w:tc>
        <w:tc>
          <w:tcPr>
            <w:tcW w:type="dxa" w:w="4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Goal, PBIs seleccionados y plan inicial del Developer.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Daily Scrum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Cada día de trabajo; hasta 15 minutos</w:t>
            </w:r>
          </w:p>
        </w:tc>
        <w:tc>
          <w:tcPr>
            <w:tcW w:type="dxa" w:w="4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Inspección del avance hacia el Sprint Goal y adaptación del plan.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Refinamiento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Al menos semanal, según necesidad</w:t>
            </w:r>
          </w:p>
        </w:tc>
        <w:tc>
          <w:tcPr>
            <w:tcW w:type="dxa" w:w="4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PBIs más claros, pequeños, ordenados y dimensionados.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Review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En la fecha de cada entrega</w:t>
            </w:r>
          </w:p>
        </w:tc>
        <w:tc>
          <w:tcPr>
            <w:tcW w:type="dxa" w:w="4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Inspección del incremento con stakeholders y adaptación del backlog.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Retrospective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Después de la Review y antes del siguiente Sprint Planning</w:t>
            </w:r>
          </w:p>
        </w:tc>
        <w:tc>
          <w:tcPr>
            <w:tcW w:type="dxa" w:w="4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Mejora concreta de calidad y efectividad.</w:t>
            </w:r>
          </w:p>
        </w:tc>
      </w:tr>
    </w:tbl>
    <w:p>
      <w:pPr>
        <w:spacing w:after="40"/>
      </w:pPr>
    </w:p>
    <w:p>
      <w:pPr>
        <w:pStyle w:val="Heading2"/>
      </w:pPr>
      <w:r>
        <w:t>5.1. Sprint 1 - entrega 15/08/2026</w:t>
      </w:r>
    </w:p>
    <w:p>
      <w:r>
        <w:rPr>
          <w:rFonts w:ascii="Arial" w:hAnsi="Arial"/>
          <w:b/>
          <w:color w:val="000000"/>
          <w:sz w:val="22"/>
        </w:rPr>
        <w:t xml:space="preserve">Sprint Goal: </w:t>
      </w:r>
      <w:r>
        <w:rPr>
          <w:rFonts w:ascii="Arial" w:hAnsi="Arial"/>
          <w:color w:val="000000"/>
          <w:sz w:val="22"/>
        </w:rPr>
        <w:t>Permitir que usuarios de prueba se registren y accedan a una base segura, diferenciada y auditable.</w:t>
      </w:r>
    </w:p>
    <w:p>
      <w:r>
        <w:rPr>
          <w:rFonts w:ascii="Arial" w:hAnsi="Arial"/>
          <w:b/>
          <w:color w:val="000000"/>
          <w:sz w:val="22"/>
        </w:rPr>
        <w:t xml:space="preserve">Problema que resuelve: </w:t>
      </w:r>
      <w:r>
        <w:rPr>
          <w:rFonts w:ascii="Arial" w:hAnsi="Arial"/>
          <w:color w:val="000000"/>
          <w:sz w:val="22"/>
        </w:rPr>
        <w:t>Sin identidad de cuenta, acceso y gobierno no existe una base confiable para el resto del flujo.</w:t>
      </w:r>
    </w:p>
    <w:p>
      <w:r>
        <w:rPr>
          <w:rFonts w:ascii="Arial" w:hAnsi="Arial"/>
          <w:b/>
          <w:color w:val="000000"/>
          <w:sz w:val="22"/>
        </w:rPr>
        <w:t xml:space="preserve">Incremento visible: </w:t>
      </w:r>
      <w:r>
        <w:rPr>
          <w:rFonts w:ascii="Arial" w:hAnsi="Arial"/>
          <w:color w:val="000000"/>
          <w:sz w:val="22"/>
        </w:rPr>
        <w:t>Prototipo inicial; cuenta de prueba; verificación; acceso y recuperación; navegación por rol; seguridad y auditoría básicas.</w:t>
      </w:r>
    </w:p>
    <w:p>
      <w:pPr>
        <w:pStyle w:val="Heading3"/>
      </w:pPr>
      <w:r>
        <w:t>Selección prevista del Product Backlog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600"/>
        <w:gridCol w:w="2100"/>
        <w:gridCol w:w="2800"/>
        <w:gridCol w:w="1500"/>
        <w:gridCol w:w="2020"/>
      </w:tblGrid>
      <w:tr>
        <w:trPr>
          <w:tblHeader w:val="true"/>
        </w:trPr>
        <w:tc>
          <w:tcPr>
            <w:tcW w:type="dxa" w:w="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Orden</w:t>
            </w:r>
          </w:p>
        </w:tc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PBI</w:t>
            </w:r>
          </w:p>
        </w:tc>
        <w:tc>
          <w:tcPr>
            <w:tcW w:type="dxa" w:w="2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Resultado integrado</w:t>
            </w:r>
          </w:p>
        </w:tc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Dependencia</w:t>
            </w:r>
          </w:p>
        </w:tc>
        <w:tc>
          <w:tcPr>
            <w:tcW w:type="dxa" w:w="20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Evidencia prevista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PBI-001</w:t>
              <w:br/>
              <w:t>Registrar cuenta de cliente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Habilita la entrada controlada al servicio.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-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HU-001; CU-001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PBI-002</w:t>
              <w:br/>
              <w:t>Verificar celular y correo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Reduce suplantación y confirma medios de contacto.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PBI-001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HU-002; CU-001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PBI-003</w:t>
              <w:br/>
              <w:t>Autenticar, cerrar sesión y recuperar acceso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Permite acceso seguro y recuperación sin revelar cuentas.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PBI-001,002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HU-003; CU-002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PBI-004</w:t>
              <w:br/>
              <w:t>Gestionar usuarios internos y roles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Aplica mínimo privilegio y accesos diferenciados.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PBI-003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HU-004; CU-015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5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PBI-005</w:t>
              <w:br/>
              <w:t>Registrar auditoría de eventos críticos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Permite reconstruir quién hizo qué y cuándo.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PBI-003,004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HU-005; CU-015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6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PBI-006</w:t>
              <w:br/>
              <w:t>Presentar avisos y consentimientos versionados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Obtiene evidencia separada por finalidad.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PBI-001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HU-006; CU-003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7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PBI-007</w:t>
              <w:br/>
              <w:t>Habilitar navegación y acceso por perfil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Ofrece una estructura comprensible según actor.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PBI-003,004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HU-004; CU-002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8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PBI-008</w:t>
              <w:br/>
              <w:t>Establecer línea base de seguridad verificable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Hace visibles los controles aplicables del MVP.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PBI-003,004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-; -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9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PBI-009</w:t>
              <w:br/>
              <w:t>Proteger datos, tráfico y secretos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Reduce exposición de información y credenciales.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PBI-008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-; -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10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PBI-010</w:t>
              <w:br/>
              <w:t>Separar datos de prueba y producción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Evita usar datos personales reales sin autorización.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PBI-008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-; -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11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PBI-011</w:t>
              <w:br/>
              <w:t>Base responsiva y accesible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Permite operar desde móvil y con barreras reducidas.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PBI-007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-; -</w:t>
            </w:r>
          </w:p>
        </w:tc>
      </w:tr>
    </w:tbl>
    <w:p>
      <w:pPr>
        <w:spacing w:after="40"/>
      </w:pPr>
    </w:p>
    <w:p>
      <w:pPr>
        <w:pStyle w:val="Heading3"/>
      </w:pPr>
      <w:r>
        <w:t>Condiciones de entrada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Product Goal y roles comunicados.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PBI 001-011 refinados y dimensionados por el Developer.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Avisos y decisiones mínimas identificados como hipótesis o validados.</w:t>
      </w:r>
    </w:p>
    <w:p>
      <w:pPr>
        <w:pStyle w:val="Heading3"/>
      </w:pPr>
      <w:r>
        <w:t>Guion de demostración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Registrar una cuenta de prueba y verificar contactos.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Iniciar y cerrar sesión; demostrar recuperación.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Mostrar acceso diferenciado de cliente y personal interno.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Consultar evidencia básica de auditoría y controles de acceso.</w:t>
      </w:r>
    </w:p>
    <w:p>
      <w:pPr>
        <w:pStyle w:val="Heading3"/>
      </w:pPr>
      <w:r>
        <w:t>Integración y exclusiones</w:t>
      </w:r>
    </w:p>
    <w:p>
      <w:r>
        <w:rPr>
          <w:rFonts w:ascii="Arial" w:hAnsi="Arial"/>
          <w:color w:val="000000"/>
          <w:sz w:val="22"/>
        </w:rPr>
        <w:t>El incremento deberá integrarse con todo lo que ya cumpla Done. No se seleccionan tecnologías, frameworks, bases de datos, proveedores, componentes, APIs, esquemas ni arquitectura; esas decisiones corresponden a la fase 5. Tampoco se autoriza apertura comercial por completar una demostración.</w:t>
      </w:r>
    </w:p>
    <w:p>
      <w:pPr>
        <w:pStyle w:val="Heading3"/>
      </w:pPr>
      <w:r>
        <w:t>Riesgos y bloqueos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Dualidad PO/SM puede afectar transparencia.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Controles de identidad o mensajería pueden depender de decisiones posteriores.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Fecha del documento coincide con la entrega planificada; nada se declara terminado sin evidencia.</w:t>
      </w:r>
    </w:p>
    <w:p>
      <w:pPr>
        <w:pStyle w:val="Heading2"/>
      </w:pPr>
      <w:r>
        <w:t>5.2. Sprint 2 - entrega 29/08/2026</w:t>
      </w:r>
    </w:p>
    <w:p>
      <w:r>
        <w:rPr>
          <w:rFonts w:ascii="Arial" w:hAnsi="Arial"/>
          <w:b/>
          <w:color w:val="000000"/>
          <w:sz w:val="22"/>
        </w:rPr>
        <w:t xml:space="preserve">Sprint Goal: </w:t>
      </w:r>
      <w:r>
        <w:rPr>
          <w:rFonts w:ascii="Arial" w:hAnsi="Arial"/>
          <w:color w:val="000000"/>
          <w:sz w:val="22"/>
        </w:rPr>
        <w:t>Permitir que un cliente complete su expediente, comprenda el costo y envíe una solicitud única consultable.</w:t>
      </w:r>
    </w:p>
    <w:p>
      <w:r>
        <w:rPr>
          <w:rFonts w:ascii="Arial" w:hAnsi="Arial"/>
          <w:b/>
          <w:color w:val="000000"/>
          <w:sz w:val="22"/>
        </w:rPr>
        <w:t xml:space="preserve">Problema que resuelve: </w:t>
      </w:r>
      <w:r>
        <w:rPr>
          <w:rFonts w:ascii="Arial" w:hAnsi="Arial"/>
          <w:color w:val="000000"/>
          <w:sz w:val="22"/>
        </w:rPr>
        <w:t>El cliente necesita transformar información personal y una simulación transparente en una solicitud trazable.</w:t>
      </w:r>
    </w:p>
    <w:p>
      <w:r>
        <w:rPr>
          <w:rFonts w:ascii="Arial" w:hAnsi="Arial"/>
          <w:b/>
          <w:color w:val="000000"/>
          <w:sz w:val="22"/>
        </w:rPr>
        <w:t xml:space="preserve">Incremento visible: </w:t>
      </w:r>
      <w:r>
        <w:rPr>
          <w:rFonts w:ascii="Arial" w:hAnsi="Arial"/>
          <w:color w:val="000000"/>
          <w:sz w:val="22"/>
        </w:rPr>
        <w:t>Perfil, identidad y región; documentos; parámetros; simulador; solicitud; estado; notificación básica y recuperación de borrador.</w:t>
      </w:r>
    </w:p>
    <w:p>
      <w:pPr>
        <w:pStyle w:val="Heading3"/>
      </w:pPr>
      <w:r>
        <w:t>Selección prevista del Product Backlog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600"/>
        <w:gridCol w:w="2100"/>
        <w:gridCol w:w="2800"/>
        <w:gridCol w:w="1500"/>
        <w:gridCol w:w="2020"/>
      </w:tblGrid>
      <w:tr>
        <w:trPr>
          <w:tblHeader w:val="true"/>
        </w:trPr>
        <w:tc>
          <w:tcPr>
            <w:tcW w:type="dxa" w:w="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Orden</w:t>
            </w:r>
          </w:p>
        </w:tc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PBI</w:t>
            </w:r>
          </w:p>
        </w:tc>
        <w:tc>
          <w:tcPr>
            <w:tcW w:type="dxa" w:w="2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Resultado integrado</w:t>
            </w:r>
          </w:p>
        </w:tc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Dependencia</w:t>
            </w:r>
          </w:p>
        </w:tc>
        <w:tc>
          <w:tcPr>
            <w:tcW w:type="dxa" w:w="20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Evidencia prevista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12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PBI-012</w:t>
              <w:br/>
              <w:t>Completar y actualizar perfil personal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Reúne información vigente para evaluar al solicitante.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PBI-003,006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HU-007; CU-003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13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PBI-013</w:t>
              <w:br/>
              <w:t>Registrar ubicación y vínculo con San Martín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Delimita el piloto a su ámbito regional.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PBI-012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HU-008; CU-004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14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PBI-014</w:t>
              <w:br/>
              <w:t>Capturar y revisar evidencia de identidad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Sustenta identidad sin aprobar fallas automáticamente.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PBI-012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HU-009; CU-004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15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PBI-015</w:t>
              <w:br/>
              <w:t>Registrar información laboral y económica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Aporta datos básicos de capacidad de pago.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PBI-012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HU-010; CU-003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16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PBI-016</w:t>
              <w:br/>
              <w:t>Simular un micropréstamo transparente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Permite comparar monto, cuota y costo antes de solicitar.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PBI-012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HU-011; CU-005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17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PBI-017</w:t>
              <w:br/>
              <w:t>Mostrar alcance no vinculante de la simulación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Evita confundir simulación con aprobación.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PBI-016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HU-012; CU-005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18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PBI-018</w:t>
              <w:br/>
              <w:t>Crear y enviar solicitud desde simulación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Convierte una intención informada en expediente trazable.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PBI-013 a 017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HU-013; CU-006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19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PBI-019</w:t>
              <w:br/>
              <w:t>Bloquear solicitudes duplicadas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Evita expedientes y exposición simultáneos.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PBI-018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HU-014; CU-006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20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PBI-020</w:t>
              <w:br/>
              <w:t>Consultar estado y acciones pendientes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 visibilidad al cliente sobre su trámite.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PBI-018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HU-015; CU-006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21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PBI-021</w:t>
              <w:br/>
              <w:t>Conservar borradores ante conexión intermitente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Reduce pérdida de avance en condiciones regionales.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PBI-012,018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HU-016; CU-006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22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PBI-022</w:t>
              <w:br/>
              <w:t>Cargar y gestionar documentos básicos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Completa el expediente y permite corregirlo antes del envío.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PBI-014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HU-017; CU-004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23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PBI-023</w:t>
              <w:br/>
              <w:t>Validar cálculos financieros con casos patrón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Asegura resultados deterministas al céntimo.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PBI-016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-; CU-005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24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PBI-024</w:t>
              <w:br/>
              <w:t>Versionar parámetros financieros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Impide cambios retroactivos en condiciones históricas.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PBI-016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HU-018; CU-015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25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PBI-025</w:t>
              <w:br/>
              <w:t>Emitir notificaciones transaccionales básicas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Mantiene informado al cliente sin datos innecesarios.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PBI-020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HU-019; CU-006</w:t>
            </w:r>
          </w:p>
        </w:tc>
      </w:tr>
    </w:tbl>
    <w:p>
      <w:pPr>
        <w:spacing w:after="40"/>
      </w:pPr>
    </w:p>
    <w:p>
      <w:pPr>
        <w:pStyle w:val="Heading3"/>
      </w:pPr>
      <w:r>
        <w:t>Condiciones de entrada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Incremento de Sprint 1 utilizable o dependencias no Done replanificadas.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Parámetros financieros preliminares versionados y casos patrón disponibles.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PBI 012-025 suficientemente refinados.</w:t>
      </w:r>
    </w:p>
    <w:p>
      <w:pPr>
        <w:pStyle w:val="Heading3"/>
      </w:pPr>
      <w:r>
        <w:t>Guion de demostración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Completar perfil, domicilio regional, datos económicos y documentos.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Simular un préstamo mostrando todos los costos y la advertencia.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Enviar una solicitud y demostrar bloqueo de duplicidad.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Consultar el estado y recuperar un borrador tras interrupción.</w:t>
      </w:r>
    </w:p>
    <w:p>
      <w:pPr>
        <w:pStyle w:val="Heading3"/>
      </w:pPr>
      <w:r>
        <w:t>Integración y exclusiones</w:t>
      </w:r>
    </w:p>
    <w:p>
      <w:r>
        <w:rPr>
          <w:rFonts w:ascii="Arial" w:hAnsi="Arial"/>
          <w:color w:val="000000"/>
          <w:sz w:val="22"/>
        </w:rPr>
        <w:t>El incremento deberá integrarse con todo lo que ya cumpla Done. No se seleccionan tecnologías, frameworks, bases de datos, proveedores, componentes, APIs, esquemas ni arquitectura; esas decisiones corresponden a la fase 5. Tampoco se autoriza apertura comercial por completar una demostración.</w:t>
      </w:r>
    </w:p>
    <w:p>
      <w:pPr>
        <w:pStyle w:val="Heading3"/>
      </w:pPr>
      <w:r>
        <w:t>Riesgos y bloqueos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Parámetros financieros siguen sujetos a validación profesional.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Conectividad intermitente puede afectar carga de documentos.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No se debe confundir simulación con aprobación.</w:t>
      </w:r>
    </w:p>
    <w:p>
      <w:pPr>
        <w:pStyle w:val="Heading2"/>
      </w:pPr>
      <w:r>
        <w:t>5.3. Sprint 3 - entrega 12/09/2026</w:t>
      </w:r>
    </w:p>
    <w:p>
      <w:r>
        <w:rPr>
          <w:rFonts w:ascii="Arial" w:hAnsi="Arial"/>
          <w:b/>
          <w:color w:val="000000"/>
          <w:sz w:val="22"/>
        </w:rPr>
        <w:t xml:space="preserve">Sprint Goal: </w:t>
      </w:r>
      <w:r>
        <w:rPr>
          <w:rFonts w:ascii="Arial" w:hAnsi="Arial"/>
          <w:color w:val="000000"/>
          <w:sz w:val="22"/>
        </w:rPr>
        <w:t>Permitir una evaluación manual, una decisión controlada y una contratación informada y auditable.</w:t>
      </w:r>
    </w:p>
    <w:p>
      <w:r>
        <w:rPr>
          <w:rFonts w:ascii="Arial" w:hAnsi="Arial"/>
          <w:b/>
          <w:color w:val="000000"/>
          <w:sz w:val="22"/>
        </w:rPr>
        <w:t xml:space="preserve">Problema que resuelve: </w:t>
      </w:r>
      <w:r>
        <w:rPr>
          <w:rFonts w:ascii="Arial" w:hAnsi="Arial"/>
          <w:color w:val="000000"/>
          <w:sz w:val="22"/>
        </w:rPr>
        <w:t>La solicitud no genera valor responsable hasta ser revisada, decidida y comunicada con controles y evidencia.</w:t>
      </w:r>
    </w:p>
    <w:p>
      <w:r>
        <w:rPr>
          <w:rFonts w:ascii="Arial" w:hAnsi="Arial"/>
          <w:b/>
          <w:color w:val="000000"/>
          <w:sz w:val="22"/>
        </w:rPr>
        <w:t xml:space="preserve">Incremento visible: </w:t>
      </w:r>
      <w:r>
        <w:rPr>
          <w:rFonts w:ascii="Arial" w:hAnsi="Arial"/>
          <w:color w:val="000000"/>
          <w:sz w:val="22"/>
        </w:rPr>
        <w:t>Bandeja; revisión; observaciones; decisión y doble control; oferta; documentos precontractuales; aceptación; comunicación e historial.</w:t>
      </w:r>
    </w:p>
    <w:p>
      <w:pPr>
        <w:pStyle w:val="Heading3"/>
      </w:pPr>
      <w:r>
        <w:t>Selección prevista del Product Backlog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600"/>
        <w:gridCol w:w="2100"/>
        <w:gridCol w:w="2800"/>
        <w:gridCol w:w="1500"/>
        <w:gridCol w:w="2020"/>
      </w:tblGrid>
      <w:tr>
        <w:trPr>
          <w:tblHeader w:val="true"/>
        </w:trPr>
        <w:tc>
          <w:tcPr>
            <w:tcW w:type="dxa" w:w="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Orden</w:t>
            </w:r>
          </w:p>
        </w:tc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PBI</w:t>
            </w:r>
          </w:p>
        </w:tc>
        <w:tc>
          <w:tcPr>
            <w:tcW w:type="dxa" w:w="2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Resultado integrado</w:t>
            </w:r>
          </w:p>
        </w:tc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Dependencia</w:t>
            </w:r>
          </w:p>
        </w:tc>
        <w:tc>
          <w:tcPr>
            <w:tcW w:type="dxa" w:w="20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Evidencia prevista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26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PBI-026</w:t>
              <w:br/>
              <w:t>Bandeja administrativa de solicitudes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Ordena el trabajo de evaluación con permisos.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PBI-018,020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HU-020; CU-007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27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PBI-027</w:t>
              <w:br/>
              <w:t>Evaluar identidad, región y capacidad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Sustenta una decisión manual trazable.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PBI-026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HU-021; CU-007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28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PBI-028</w:t>
              <w:br/>
              <w:t>Registrar observaciones y subsanación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Permite completar información pertinente sin reiniciar el caso.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PBI-027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HU-022; CU-007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29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PBI-029</w:t>
              <w:br/>
              <w:t>Aprobar, observar o rechazar con motivo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Formaliza una decisión responsable e inmutable.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PBI-027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HU-023; CU-008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30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PBI-030</w:t>
              <w:br/>
              <w:t>Aplicar segunda aprobación a excepciones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Mitiga concentración y decisiones fuera de límites.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PBI-029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HU-024; CU-008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31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PBI-031</w:t>
              <w:br/>
              <w:t>Generar oferta versionada y vigente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Expone condiciones autorizadas antes de contratar.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PBI-029,030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HU-025; CU-008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32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PBI-032</w:t>
              <w:br/>
              <w:t>Mostrar hoja resumen, cronograma y contrato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Facilita revisión y conservación previa a aceptar.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PBI-031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HU-026; CU-009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33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PBI-033</w:t>
              <w:br/>
              <w:t>Registrar aceptación contractual expresa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Conserva expediente probatorio de la contratación.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PBI-032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HU-027; CU-009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34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PBI-034</w:t>
              <w:br/>
              <w:t>Registrar controles KYC/PEP para piloto real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Impide operar dinero real sin controles aplicables.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PBI-027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HU-028; CU-007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35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PBI-035</w:t>
              <w:br/>
              <w:t>Comunicar decisión al cliente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Cierra el ciclo de evaluación con información adecuada.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PBI-029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HU-029; CU-008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36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PBI-036</w:t>
              <w:br/>
              <w:t>Garantizar idempotencia y trazabilidad contractual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Evita contratos y decisiones duplicadas por reintentos.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PBI-029,033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-; CU-009</w:t>
            </w:r>
          </w:p>
        </w:tc>
      </w:tr>
    </w:tbl>
    <w:p>
      <w:pPr>
        <w:spacing w:after="40"/>
      </w:pPr>
    </w:p>
    <w:p>
      <w:pPr>
        <w:pStyle w:val="Heading3"/>
      </w:pPr>
      <w:r>
        <w:t>Condiciones de entrada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Expedientes de Sprint 2 disponibles con datos sintéticos.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Criterios de decisión y permisos confirmados para la demostración.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Mecanismo contractual y alcance KYC/PEP identificados; dinero real bloqueado si no están validados.</w:t>
      </w:r>
    </w:p>
    <w:p>
      <w:pPr>
        <w:pStyle w:val="Heading3"/>
      </w:pPr>
      <w:r>
        <w:t>Guion de demostración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Abrir y evaluar una solicitud enviada.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Registrar una observación y mostrar subsanación.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Aprobar o rechazar con motivo y demostrar doble control en una excepción.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Generar oferta, revisar documentos y registrar aceptación sin duplicados.</w:t>
      </w:r>
    </w:p>
    <w:p>
      <w:pPr>
        <w:pStyle w:val="Heading3"/>
      </w:pPr>
      <w:r>
        <w:t>Integración y exclusiones</w:t>
      </w:r>
    </w:p>
    <w:p>
      <w:r>
        <w:rPr>
          <w:rFonts w:ascii="Arial" w:hAnsi="Arial"/>
          <w:color w:val="000000"/>
          <w:sz w:val="22"/>
        </w:rPr>
        <w:t>El incremento deberá integrarse con todo lo que ya cumpla Done. No se seleccionan tecnologías, frameworks, bases de datos, proveedores, componentes, APIs, esquemas ni arquitectura; esas decisiones corresponden a la fase 5. Tampoco se autoriza apertura comercial por completar una demostración.</w:t>
      </w:r>
    </w:p>
    <w:p>
      <w:pPr>
        <w:pStyle w:val="Heading3"/>
      </w:pPr>
      <w:r>
        <w:t>Riesgos y bloqueos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Validación legal de contratación y cumplimiento pendiente.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Un equipo pequeño incrementa conflicto de funciones.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Información antifraude no debe exponerse en comunicaciones.</w:t>
      </w:r>
    </w:p>
    <w:p>
      <w:pPr>
        <w:pStyle w:val="Heading2"/>
      </w:pPr>
      <w:r>
        <w:t>5.4. Sprint 4 - entrega 26/09/2026</w:t>
      </w:r>
    </w:p>
    <w:p>
      <w:r>
        <w:rPr>
          <w:rFonts w:ascii="Arial" w:hAnsi="Arial"/>
          <w:b/>
          <w:color w:val="000000"/>
          <w:sz w:val="22"/>
        </w:rPr>
        <w:t xml:space="preserve">Sprint Goal: </w:t>
      </w:r>
      <w:r>
        <w:rPr>
          <w:rFonts w:ascii="Arial" w:hAnsi="Arial"/>
          <w:color w:val="000000"/>
          <w:sz w:val="22"/>
        </w:rPr>
        <w:t>Completar y demostrar el flujo del micropréstamo desde el desembolso confirmado hasta pagos, mora y supervisión del piloto.</w:t>
      </w:r>
    </w:p>
    <w:p>
      <w:r>
        <w:rPr>
          <w:rFonts w:ascii="Arial" w:hAnsi="Arial"/>
          <w:b/>
          <w:color w:val="000000"/>
          <w:sz w:val="22"/>
        </w:rPr>
        <w:t xml:space="preserve">Problema que resuelve: </w:t>
      </w:r>
      <w:r>
        <w:rPr>
          <w:rFonts w:ascii="Arial" w:hAnsi="Arial"/>
          <w:color w:val="000000"/>
          <w:sz w:val="22"/>
        </w:rPr>
        <w:t>El MVP requiere convertir un contrato aceptado en una obligación consistente, operable y demostrable de extremo a extremo.</w:t>
      </w:r>
    </w:p>
    <w:p>
      <w:r>
        <w:rPr>
          <w:rFonts w:ascii="Arial" w:hAnsi="Arial"/>
          <w:b/>
          <w:color w:val="000000"/>
          <w:sz w:val="22"/>
        </w:rPr>
        <w:t xml:space="preserve">Incremento visible: </w:t>
      </w:r>
      <w:r>
        <w:rPr>
          <w:rFonts w:ascii="Arial" w:hAnsi="Arial"/>
          <w:color w:val="000000"/>
          <w:sz w:val="22"/>
        </w:rPr>
        <w:t>Desembolso manual; préstamo; cronograma; pagos y reversos; saldo; mora; cobranza; atención; reportes; pausa; ambiente y datos de demostración.</w:t>
      </w:r>
    </w:p>
    <w:p>
      <w:pPr>
        <w:pStyle w:val="Heading3"/>
      </w:pPr>
      <w:r>
        <w:t>Selección prevista del Product Backlog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600"/>
        <w:gridCol w:w="2100"/>
        <w:gridCol w:w="2800"/>
        <w:gridCol w:w="1500"/>
        <w:gridCol w:w="2020"/>
      </w:tblGrid>
      <w:tr>
        <w:trPr>
          <w:tblHeader w:val="true"/>
        </w:trPr>
        <w:tc>
          <w:tcPr>
            <w:tcW w:type="dxa" w:w="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Orden</w:t>
            </w:r>
          </w:p>
        </w:tc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PBI</w:t>
            </w:r>
          </w:p>
        </w:tc>
        <w:tc>
          <w:tcPr>
            <w:tcW w:type="dxa" w:w="2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Resultado integrado</w:t>
            </w:r>
          </w:p>
        </w:tc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Dependencia</w:t>
            </w:r>
          </w:p>
        </w:tc>
        <w:tc>
          <w:tcPr>
            <w:tcW w:type="dxa" w:w="20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Evidencia prevista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37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PBI-037</w:t>
              <w:br/>
              <w:t>Registrar desembolso manual y sus estados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Permite conciliar la entrega sin crear deuda por fallos.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PBI-033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HU-030; CU-010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38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PBI-038</w:t>
              <w:br/>
              <w:t>Activar préstamo tras confirmar desembolso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Inicia la obligación solo cuando el dinero fue entregado.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PBI-037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HU-031; CU-010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39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PBI-039</w:t>
              <w:br/>
              <w:t>Generar cronograma financiero cuadrado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Materializa cuotas, fechas y saldos reproducibles.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PBI-038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HU-032; CU-011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40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PBI-040</w:t>
              <w:br/>
              <w:t>Consultar préstamo, cuotas, pagos y saldo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 transparencia al cliente durante la vigencia.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PBI-039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HU-033; CU-011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41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PBI-041</w:t>
              <w:br/>
              <w:t>Registrar, conciliar e imputar pagos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Actualiza obligaciones sin duplicar referencias.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PBI-039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HU-034; CU-012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42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PBI-042</w:t>
              <w:br/>
              <w:t>Revertir pagos con control reforzado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Corrige errores sin borrar la operación original.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PBI-041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HU-035; CU-012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43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PBI-043</w:t>
              <w:br/>
              <w:t>Calcular cancelación anticipada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Permite prepago sin penalidad y con liquidación clara.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PBI-040,041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HU-036; CU-012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44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PBI-044</w:t>
              <w:br/>
              <w:t>Identificar vencimiento y calcular mora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Aplica gracia y mora propuesta de forma reproducible.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PBI-039,041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HU-037; CU-013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45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PBI-045</w:t>
              <w:br/>
              <w:t>Gestionar cobranza y regularización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Registra gestiones respetuosas y acuerdos autorizados.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PBI-044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HU-038; CU-013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46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PBI-046</w:t>
              <w:br/>
              <w:t>Atender reclamos y derechos de datos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Permite seguimiento responsable de solicitudes del cliente.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PBI-006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HU-039; CU-014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47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PBI-047</w:t>
              <w:br/>
              <w:t>Reportar operación, riesgo y pausa de originación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Facilita supervisión y respuesta a gatillos del piloto.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PBI-038 a 046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HU-040; CU-015</w:t>
            </w:r>
          </w:p>
        </w:tc>
      </w:tr>
      <w:tr>
        <w:tc>
          <w:tcPr>
            <w:tcW w:type="dxa" w:w="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48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PBI-048</w:t>
              <w:br/>
              <w:t>Preparar ambiente, datos, pruebas y recuperación del piloto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Permite demostrar el flujo completo y responder a fallos.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Todos los anteriores</w:t>
            </w:r>
          </w:p>
        </w:tc>
        <w:tc>
          <w:tcPr>
            <w:tcW w:type="dxa" w:w="2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Criterios + Done; -; CU-001 a CU-015</w:t>
            </w:r>
          </w:p>
        </w:tc>
      </w:tr>
    </w:tbl>
    <w:p>
      <w:pPr>
        <w:spacing w:after="40"/>
      </w:pPr>
    </w:p>
    <w:p>
      <w:pPr>
        <w:pStyle w:val="Heading3"/>
      </w:pPr>
      <w:r>
        <w:t>Condiciones de entrada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Contrato de prueba aceptado y condiciones versionadas.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Casos patrón financieros y datos sintéticos preparados.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PBI 037-048 refinados, con procedimiento de contingencia visible.</w:t>
      </w:r>
    </w:p>
    <w:p>
      <w:pPr>
        <w:pStyle w:val="Heading3"/>
      </w:pPr>
      <w:r>
        <w:t>Guion de demostración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Registrar un desembolso confirmado y otro fallido sin deuda.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Generar cronograma y verificar que cuadre al céntimo.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Registrar, conciliar y revertir un pago autorizado.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Mostrar vencimiento, gracia, mora y gestión de cobranza.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Ejecutar el flujo integral y revisar reportes y pausa de originación.</w:t>
      </w:r>
    </w:p>
    <w:p>
      <w:pPr>
        <w:pStyle w:val="Heading3"/>
      </w:pPr>
      <w:r>
        <w:t>Integración y exclusiones</w:t>
      </w:r>
    </w:p>
    <w:p>
      <w:r>
        <w:rPr>
          <w:rFonts w:ascii="Arial" w:hAnsi="Arial"/>
          <w:color w:val="000000"/>
          <w:sz w:val="22"/>
        </w:rPr>
        <w:t>El incremento deberá integrarse con todo lo que ya cumpla Done. No se seleccionan tecnologías, frameworks, bases de datos, proveedores, componentes, APIs, esquemas ni arquitectura; esas decisiones corresponden a la fase 5. Tampoco se autoriza apertura comercial por completar una demostración.</w:t>
      </w:r>
    </w:p>
    <w:p>
      <w:pPr>
        <w:pStyle w:val="Heading3"/>
      </w:pPr>
      <w:r>
        <w:t>Riesgos y bloqueos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Concentración de alcance en el último sprint.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Cálculos, conciliación y recuperación requieren evidencia independiente.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demostración controlada no autoriza lanzamiento comercial.</w:t>
      </w:r>
    </w:p>
    <w:p>
      <w:pPr>
        <w:pStyle w:val="Heading2"/>
      </w:pPr>
      <w:r>
        <w:t>6. Sprint Backlog conceptual</w:t>
      </w:r>
    </w:p>
    <w:p>
      <w:r>
        <w:rPr>
          <w:rFonts w:ascii="Arial" w:hAnsi="Arial"/>
          <w:color w:val="000000"/>
          <w:sz w:val="22"/>
        </w:rPr>
        <w:t>Para cada sprint, el Sprint Backlog estará compuesto por el Sprint Goal, los PBIs seleccionados y el plan accionable del Developer. Este documento no inventa tareas, horas, velocidad ni capacidad; tales decisiones se tomarán al iniciar y durante el sprint. El Product Owner puede aclarar alcance y negociar contenido, pero no modifica unilateralmente el plan del Developer.</w:t>
      </w:r>
    </w:p>
    <w:p>
      <w:pPr>
        <w:pStyle w:val="Heading2"/>
      </w:pPr>
      <w:r>
        <w:t>7. Definition of Done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elemento satisface sus criterios de aceptación aprobados y no mantiene defectos críticos o altos abiertos.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comportamiento funcional y sus excepciones fueron probados con evidencia reproducible.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cálculos financieros aplicables coinciden al céntimo con casos patrón independientes.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Se verificaron permisos, segregación, auditoría, privacidad e idempotencia aplicables.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incremento no contiene secretos ni datos personales reales de prueba no autorizados.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flujos principales funcionan desde 360 px y mediante teclado en el alcance implementado.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revisión de seguridad del alcance implementado no deja controles críticos sin tratamiento.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requisitos y reglas relacionados conservan trazabilidad con el PBI, la historia, el caso y el sprint.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documentación operativa y de usuario necesaria para demostrar el incremento está actualizada.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Product Owner revisó la evidencia; aceptar no equivale a autorizar operación comercial ni dinero real.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incremento se integra con los incrementos anteriores y permanece utilizable en el ambiente controlado.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Cualquier excepción, deuda o decisión pendiente queda visible en el Product Backlog y no se declara terminada.</w:t>
      </w:r>
    </w:p>
    <w:p>
      <w:pPr>
        <w:pStyle w:val="Heading2"/>
      </w:pPr>
      <w:r>
        <w:t>8. Revisión, incidencias y contingencia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Cada Sprint Review inspeccionará evidencia y adaptará el Product Backlog; una demo exitosa no sustituye pruebas ni Done.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Las incidencias se incorporarán al único Product Backlog, se clasificarán por severidad y se ordenarán frente al Product Goal.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contingencia del 26/09 al 16/10 se limita a defectos, funciones comprometidas incompletas y ajustes indispensables del alcance aprobado.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Si queda trabajo no Done al 26/09, se informará explícitamente y se replanificará; no se declarará un quinto sprint sin una nueva decisión.</w:t>
      </w: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Finanzas, documentos 1 al 11 y Plan de Desarrollo y Entregas del MVP.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Schwaber, K. y Sutherland, J. The Scrum Guide, versión oficial vigente de noviembre de 2020: https://scrumguides.org/download.html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Scrum.org. Product Backlog y Product Backlog Items: https://www.scrum.org/resources/what-is-a-product-backlog y https://www.scrum.org/resources/product-backlog-items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16. PLANIFICACION DE SPRINTS</dc:title>
  <dc:subject>Fase 4 - Marco de trabajo Scrum</dc:subject>
  <dc:creator>San Martin Finanzas</dc:creator>
  <cp:keywords>Scrum, MVP,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